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AEEE" w14:textId="59FEBB53" w:rsidR="00216712" w:rsidRDefault="00216712" w:rsidP="0091003F">
      <w:pPr>
        <w:tabs>
          <w:tab w:val="left" w:pos="4050"/>
        </w:tabs>
        <w:rPr>
          <w:b/>
          <w:sz w:val="28"/>
          <w:szCs w:val="28"/>
        </w:rPr>
      </w:pPr>
    </w:p>
    <w:p w14:paraId="5A34CB9B" w14:textId="77777777" w:rsidR="00EF3237" w:rsidRPr="0091003F" w:rsidRDefault="009272C3" w:rsidP="009272C3">
      <w:pPr>
        <w:jc w:val="center"/>
        <w:rPr>
          <w:b/>
          <w:color w:val="1F4E79" w:themeColor="accent5" w:themeShade="80"/>
          <w:sz w:val="28"/>
          <w:szCs w:val="28"/>
        </w:rPr>
      </w:pPr>
      <w:r w:rsidRPr="0091003F">
        <w:rPr>
          <w:b/>
          <w:color w:val="1F4E79" w:themeColor="accent5" w:themeShade="80"/>
          <w:sz w:val="28"/>
          <w:szCs w:val="28"/>
        </w:rPr>
        <w:t>Assistant Teacher</w:t>
      </w:r>
    </w:p>
    <w:p w14:paraId="3673EFC5" w14:textId="77777777" w:rsidR="009272C3" w:rsidRPr="0091003F" w:rsidRDefault="009272C3" w:rsidP="009272C3">
      <w:pPr>
        <w:jc w:val="center"/>
        <w:rPr>
          <w:b/>
          <w:color w:val="1F4E79" w:themeColor="accent5" w:themeShade="80"/>
          <w:sz w:val="28"/>
          <w:szCs w:val="28"/>
        </w:rPr>
      </w:pPr>
      <w:r w:rsidRPr="0091003F">
        <w:rPr>
          <w:b/>
          <w:color w:val="1F4E79" w:themeColor="accent5" w:themeShade="80"/>
          <w:sz w:val="28"/>
          <w:szCs w:val="28"/>
        </w:rPr>
        <w:t>Job Description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91003F" w:rsidRPr="0091003F" w14:paraId="2D519E74" w14:textId="77777777" w:rsidTr="0091003F">
        <w:trPr>
          <w:trHeight w:val="253"/>
        </w:trPr>
        <w:tc>
          <w:tcPr>
            <w:tcW w:w="9639" w:type="dxa"/>
            <w:shd w:val="clear" w:color="auto" w:fill="B4C6E7" w:themeFill="accent1" w:themeFillTint="66"/>
          </w:tcPr>
          <w:p w14:paraId="17081D1D" w14:textId="77777777" w:rsidR="0091003F" w:rsidRPr="0091003F" w:rsidRDefault="0091003F" w:rsidP="00AC1925">
            <w:pPr>
              <w:spacing w:line="259" w:lineRule="auto"/>
              <w:ind w:left="-567" w:right="-808"/>
              <w:rPr>
                <w:rFonts w:ascii="Arial" w:eastAsia="Arial" w:hAnsi="Arial" w:cs="Arial"/>
                <w:color w:val="000000"/>
                <w:sz w:val="20"/>
              </w:rPr>
            </w:pPr>
            <w:r w:rsidRPr="0091003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Main </w:t>
            </w:r>
            <w:r w:rsidRPr="0091003F">
              <w:rPr>
                <w:rFonts w:ascii="Arial" w:eastAsia="Arial" w:hAnsi="Arial" w:cs="Arial"/>
                <w:b/>
                <w:color w:val="1F4E79" w:themeColor="accent5" w:themeShade="80"/>
                <w:sz w:val="20"/>
                <w:shd w:val="clear" w:color="auto" w:fill="B4C6E7" w:themeFill="accent1" w:themeFillTint="66"/>
              </w:rPr>
              <w:t>Overall Purpose</w:t>
            </w:r>
          </w:p>
        </w:tc>
      </w:tr>
      <w:tr w:rsidR="0091003F" w:rsidRPr="0091003F" w14:paraId="0A37F636" w14:textId="77777777" w:rsidTr="00AC1925">
        <w:trPr>
          <w:trHeight w:val="313"/>
        </w:trPr>
        <w:tc>
          <w:tcPr>
            <w:tcW w:w="9639" w:type="dxa"/>
          </w:tcPr>
          <w:p w14:paraId="20D1A1E6" w14:textId="77777777" w:rsidR="0091003F" w:rsidRDefault="0091003F" w:rsidP="0091003F">
            <w:pPr>
              <w:ind w:left="-567" w:right="-808" w:firstLine="567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D835570" w14:textId="77777777" w:rsidR="003A6934" w:rsidRPr="003A6934" w:rsidRDefault="0091003F" w:rsidP="0091003F">
            <w:pPr>
              <w:ind w:left="-567" w:right="-808" w:firstLine="567"/>
              <w:jc w:val="both"/>
              <w:rPr>
                <w:rFonts w:eastAsia="Arial" w:cs="Arial"/>
                <w:color w:val="000000"/>
                <w:sz w:val="24"/>
              </w:rPr>
            </w:pPr>
            <w:r w:rsidRPr="003A6934">
              <w:rPr>
                <w:rFonts w:eastAsia="Arial" w:cs="Arial"/>
                <w:color w:val="000000"/>
                <w:sz w:val="24"/>
              </w:rPr>
              <w:t>To support the education of the whole child, including all learners</w:t>
            </w:r>
            <w:r w:rsidR="003B66C7" w:rsidRPr="003A6934">
              <w:rPr>
                <w:rFonts w:eastAsia="Arial" w:cs="Arial"/>
                <w:color w:val="000000"/>
                <w:sz w:val="24"/>
              </w:rPr>
              <w:t>,</w:t>
            </w:r>
            <w:r w:rsidRPr="003A6934">
              <w:rPr>
                <w:rFonts w:eastAsia="Arial" w:cs="Arial"/>
                <w:color w:val="000000"/>
                <w:sz w:val="24"/>
              </w:rPr>
              <w:t xml:space="preserve"> achieving high standards.</w:t>
            </w:r>
          </w:p>
          <w:p w14:paraId="37608C0D" w14:textId="77777777" w:rsidR="003A6934" w:rsidRPr="003A6934" w:rsidRDefault="003A6934" w:rsidP="0091003F">
            <w:pPr>
              <w:ind w:left="-567" w:right="-808" w:firstLine="567"/>
              <w:jc w:val="both"/>
              <w:rPr>
                <w:rFonts w:eastAsia="Arial" w:cs="Arial"/>
                <w:color w:val="000000"/>
                <w:sz w:val="24"/>
              </w:rPr>
            </w:pPr>
            <w:r w:rsidRPr="003A6934">
              <w:rPr>
                <w:rFonts w:eastAsia="Arial" w:cs="Arial"/>
                <w:color w:val="000000"/>
                <w:sz w:val="24"/>
              </w:rPr>
              <w:t xml:space="preserve">To carry out your professional duties as specified in your Broadhurst School Contract.  In accordance </w:t>
            </w:r>
          </w:p>
          <w:p w14:paraId="2F389578" w14:textId="136C64CA" w:rsidR="0091003F" w:rsidRPr="003A6934" w:rsidRDefault="003A6934" w:rsidP="0091003F">
            <w:pPr>
              <w:ind w:left="-567" w:right="-808" w:firstLine="567"/>
              <w:jc w:val="both"/>
              <w:rPr>
                <w:rFonts w:eastAsia="Arial" w:cs="Arial"/>
                <w:color w:val="000000"/>
                <w:sz w:val="24"/>
              </w:rPr>
            </w:pPr>
            <w:r w:rsidRPr="003A6934">
              <w:rPr>
                <w:rFonts w:eastAsia="Arial" w:cs="Arial"/>
                <w:color w:val="000000"/>
                <w:sz w:val="24"/>
              </w:rPr>
              <w:t>with these terms and conditions, you are responsible to the Headmistress</w:t>
            </w:r>
          </w:p>
          <w:p w14:paraId="28CAE174" w14:textId="77777777" w:rsidR="0091003F" w:rsidRPr="0091003F" w:rsidRDefault="0091003F" w:rsidP="0091003F">
            <w:pPr>
              <w:ind w:left="-567" w:right="-808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58698847" w14:textId="31A50D1D" w:rsidR="0091003F" w:rsidRDefault="0091003F" w:rsidP="001E275F">
      <w:pPr>
        <w:rPr>
          <w:b/>
          <w:color w:val="1F4E79" w:themeColor="accent5" w:themeShade="80"/>
          <w:sz w:val="28"/>
          <w:szCs w:val="28"/>
        </w:rPr>
      </w:pPr>
    </w:p>
    <w:tbl>
      <w:tblPr>
        <w:tblStyle w:val="TableGrid1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91003F" w:rsidRPr="0091003F" w14:paraId="4A1EFA1E" w14:textId="77777777" w:rsidTr="0091003F">
        <w:trPr>
          <w:trHeight w:val="253"/>
        </w:trPr>
        <w:tc>
          <w:tcPr>
            <w:tcW w:w="9639" w:type="dxa"/>
            <w:shd w:val="clear" w:color="auto" w:fill="B4C6E7" w:themeFill="accent1" w:themeFillTint="66"/>
          </w:tcPr>
          <w:p w14:paraId="046FA524" w14:textId="5F442330" w:rsidR="0091003F" w:rsidRPr="0091003F" w:rsidRDefault="0091003F" w:rsidP="0091003F">
            <w:pPr>
              <w:ind w:left="-567" w:right="-8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1003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Main </w:t>
            </w:r>
            <w:r w:rsidRPr="0091003F">
              <w:rPr>
                <w:rFonts w:ascii="Arial" w:eastAsia="Arial" w:hAnsi="Arial" w:cs="Arial"/>
                <w:b/>
                <w:color w:val="1F4E79" w:themeColor="accent5" w:themeShade="80"/>
                <w:sz w:val="20"/>
              </w:rPr>
              <w:t>Reporting To</w:t>
            </w:r>
          </w:p>
        </w:tc>
      </w:tr>
      <w:tr w:rsidR="0091003F" w:rsidRPr="0091003F" w14:paraId="68E0D19A" w14:textId="77777777" w:rsidTr="00AC1925">
        <w:trPr>
          <w:trHeight w:val="313"/>
        </w:trPr>
        <w:tc>
          <w:tcPr>
            <w:tcW w:w="9639" w:type="dxa"/>
          </w:tcPr>
          <w:p w14:paraId="5D322748" w14:textId="77777777" w:rsidR="0091003F" w:rsidRPr="003A6934" w:rsidRDefault="0091003F" w:rsidP="0091003F">
            <w:pPr>
              <w:ind w:left="-567" w:right="-808" w:firstLine="567"/>
              <w:jc w:val="both"/>
              <w:rPr>
                <w:rFonts w:eastAsia="Arial" w:cs="Arial"/>
                <w:color w:val="000000"/>
                <w:sz w:val="24"/>
              </w:rPr>
            </w:pPr>
          </w:p>
          <w:p w14:paraId="216E38E7" w14:textId="12B24C9F" w:rsidR="0091003F" w:rsidRPr="003A6934" w:rsidRDefault="0091003F" w:rsidP="0091003F">
            <w:pPr>
              <w:ind w:left="-567" w:right="-808" w:firstLine="567"/>
              <w:jc w:val="both"/>
              <w:rPr>
                <w:rFonts w:eastAsia="Arial" w:cs="Arial"/>
                <w:color w:val="000000"/>
                <w:sz w:val="24"/>
              </w:rPr>
            </w:pPr>
            <w:r w:rsidRPr="003A6934">
              <w:rPr>
                <w:rFonts w:eastAsia="Arial" w:cs="Arial"/>
                <w:color w:val="000000"/>
                <w:sz w:val="24"/>
              </w:rPr>
              <w:t xml:space="preserve">The Headmistress  </w:t>
            </w:r>
          </w:p>
          <w:p w14:paraId="1C89ADE4" w14:textId="77777777" w:rsidR="0091003F" w:rsidRPr="0091003F" w:rsidRDefault="0091003F" w:rsidP="0091003F">
            <w:pPr>
              <w:ind w:left="-567" w:right="-808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6323BC6" w14:textId="77777777" w:rsidR="00E55E3B" w:rsidRDefault="00E55E3B" w:rsidP="001E275F">
      <w:pPr>
        <w:rPr>
          <w:b/>
          <w:color w:val="1F4E79" w:themeColor="accent5" w:themeShade="80"/>
          <w:sz w:val="24"/>
          <w:szCs w:val="24"/>
        </w:rPr>
      </w:pPr>
    </w:p>
    <w:p w14:paraId="07356ECB" w14:textId="5BC40254" w:rsidR="001E275F" w:rsidRDefault="00E55E3B" w:rsidP="001E275F">
      <w:pPr>
        <w:rPr>
          <w:b/>
          <w:color w:val="1F4E79" w:themeColor="accent5" w:themeShade="80"/>
          <w:sz w:val="28"/>
          <w:szCs w:val="28"/>
        </w:rPr>
      </w:pPr>
      <w:r w:rsidRPr="00E55E3B">
        <w:rPr>
          <w:b/>
          <w:color w:val="1F4E79" w:themeColor="accent5" w:themeShade="80"/>
          <w:sz w:val="28"/>
          <w:szCs w:val="28"/>
        </w:rPr>
        <w:t>P</w:t>
      </w:r>
      <w:r w:rsidR="0091003F" w:rsidRPr="00E55E3B">
        <w:rPr>
          <w:b/>
          <w:color w:val="1F4E79" w:themeColor="accent5" w:themeShade="80"/>
          <w:sz w:val="28"/>
          <w:szCs w:val="28"/>
        </w:rPr>
        <w:t xml:space="preserve">rinciple Responsibilities </w:t>
      </w:r>
    </w:p>
    <w:p w14:paraId="099A47CE" w14:textId="0358D9FE" w:rsidR="003B66C7" w:rsidRPr="003B66C7" w:rsidRDefault="003B66C7" w:rsidP="001E275F">
      <w:pPr>
        <w:rPr>
          <w:b/>
          <w:color w:val="1F4E79" w:themeColor="accent5" w:themeShade="80"/>
          <w:sz w:val="24"/>
          <w:szCs w:val="24"/>
        </w:rPr>
      </w:pPr>
      <w:r w:rsidRPr="003B66C7">
        <w:rPr>
          <w:b/>
          <w:color w:val="1F4E79" w:themeColor="accent5" w:themeShade="80"/>
          <w:sz w:val="24"/>
          <w:szCs w:val="24"/>
        </w:rPr>
        <w:t>Assistant Teachers are expected to:</w:t>
      </w:r>
    </w:p>
    <w:p w14:paraId="6E1465F1" w14:textId="4D8859ED" w:rsidR="00522E95" w:rsidRPr="0091003F" w:rsidRDefault="003B66C7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22E95" w:rsidRPr="0091003F">
        <w:rPr>
          <w:sz w:val="24"/>
          <w:szCs w:val="24"/>
        </w:rPr>
        <w:t xml:space="preserve">ttend to classroom duties by 8am until at least 4pm. </w:t>
      </w:r>
    </w:p>
    <w:p w14:paraId="1F97B8CD" w14:textId="31C7C274" w:rsidR="00522E95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522E95" w:rsidRPr="0091003F">
        <w:rPr>
          <w:sz w:val="24"/>
          <w:szCs w:val="24"/>
        </w:rPr>
        <w:t xml:space="preserve">ork such hours as deemed reasonable and necessary to discharge duties effectively, efficiently and conscientiously. </w:t>
      </w:r>
    </w:p>
    <w:p w14:paraId="1A9959D4" w14:textId="3861B05F" w:rsidR="009272C3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B66C7">
        <w:rPr>
          <w:sz w:val="24"/>
          <w:szCs w:val="24"/>
        </w:rPr>
        <w:t>romote and understand the aims, values and p</w:t>
      </w:r>
      <w:r w:rsidR="009272C3" w:rsidRPr="0091003F">
        <w:rPr>
          <w:sz w:val="24"/>
          <w:szCs w:val="24"/>
        </w:rPr>
        <w:t>olicies of Broadhurst School</w:t>
      </w:r>
      <w:r w:rsidR="00216712" w:rsidRPr="0091003F">
        <w:rPr>
          <w:sz w:val="24"/>
          <w:szCs w:val="24"/>
        </w:rPr>
        <w:t>.</w:t>
      </w:r>
    </w:p>
    <w:p w14:paraId="33C55ED7" w14:textId="785849BE" w:rsidR="0015038F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5038F">
        <w:rPr>
          <w:sz w:val="24"/>
          <w:szCs w:val="24"/>
        </w:rPr>
        <w:t>upport the ethos of the school, maintain discipline and uphold high standards of conduct and appearance.</w:t>
      </w:r>
    </w:p>
    <w:p w14:paraId="0817ED31" w14:textId="2ED3A61C" w:rsidR="009272C3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9272C3" w:rsidRPr="0091003F">
        <w:rPr>
          <w:sz w:val="24"/>
          <w:szCs w:val="24"/>
        </w:rPr>
        <w:t>e a positive role model for children, promoting good behaviour</w:t>
      </w:r>
      <w:r w:rsidR="00216712" w:rsidRPr="0091003F">
        <w:rPr>
          <w:sz w:val="24"/>
          <w:szCs w:val="24"/>
        </w:rPr>
        <w:t>.</w:t>
      </w:r>
    </w:p>
    <w:p w14:paraId="18F315BE" w14:textId="53C595B7" w:rsidR="009272C3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272C3" w:rsidRPr="0091003F">
        <w:rPr>
          <w:sz w:val="24"/>
          <w:szCs w:val="24"/>
        </w:rPr>
        <w:t>stablish and maintain effective working relationships with pupils, parents, staff and members of the school community</w:t>
      </w:r>
      <w:r w:rsidR="00216712" w:rsidRPr="0091003F">
        <w:rPr>
          <w:sz w:val="24"/>
          <w:szCs w:val="24"/>
        </w:rPr>
        <w:t>.</w:t>
      </w:r>
    </w:p>
    <w:p w14:paraId="4095E28E" w14:textId="74832A7A" w:rsidR="009272C3" w:rsidRPr="0091003F" w:rsidRDefault="009272C3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1003F">
        <w:rPr>
          <w:sz w:val="24"/>
          <w:szCs w:val="24"/>
        </w:rPr>
        <w:t>Be willing to perform any duties as reasonably directed. This may take the form of preparing work</w:t>
      </w:r>
      <w:r w:rsidR="00216712" w:rsidRPr="0091003F">
        <w:rPr>
          <w:sz w:val="24"/>
          <w:szCs w:val="24"/>
        </w:rPr>
        <w:t>/</w:t>
      </w:r>
      <w:r w:rsidR="00522E95" w:rsidRPr="0091003F">
        <w:rPr>
          <w:sz w:val="24"/>
          <w:szCs w:val="24"/>
        </w:rPr>
        <w:t>resources</w:t>
      </w:r>
      <w:r w:rsidRPr="0091003F">
        <w:rPr>
          <w:sz w:val="24"/>
          <w:szCs w:val="24"/>
        </w:rPr>
        <w:t>, administration tasks, classroom displays, clearing and tidying etc. This will also include working with both small groups and individuals on focused tasks</w:t>
      </w:r>
      <w:r w:rsidR="00216712" w:rsidRPr="0091003F">
        <w:rPr>
          <w:sz w:val="24"/>
          <w:szCs w:val="24"/>
        </w:rPr>
        <w:t>.</w:t>
      </w:r>
    </w:p>
    <w:p w14:paraId="67016F06" w14:textId="68F79238" w:rsidR="001E275F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E275F" w:rsidRPr="0091003F">
        <w:rPr>
          <w:sz w:val="24"/>
          <w:szCs w:val="24"/>
        </w:rPr>
        <w:t>stablish supportive and trusting relationships with pupils</w:t>
      </w:r>
      <w:r>
        <w:rPr>
          <w:sz w:val="24"/>
          <w:szCs w:val="24"/>
        </w:rPr>
        <w:t xml:space="preserve"> in a warm caring and stimulating environment</w:t>
      </w:r>
      <w:r w:rsidR="001E275F" w:rsidRPr="0091003F">
        <w:rPr>
          <w:sz w:val="24"/>
          <w:szCs w:val="24"/>
        </w:rPr>
        <w:t>.</w:t>
      </w:r>
    </w:p>
    <w:p w14:paraId="3ACCE679" w14:textId="78E61343" w:rsidR="001E275F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3B66C7">
        <w:rPr>
          <w:sz w:val="24"/>
          <w:szCs w:val="24"/>
        </w:rPr>
        <w:t>otivate children and build</w:t>
      </w:r>
      <w:r w:rsidR="001E275F" w:rsidRPr="0091003F">
        <w:rPr>
          <w:sz w:val="24"/>
          <w:szCs w:val="24"/>
        </w:rPr>
        <w:t xml:space="preserve"> their self-esteem.</w:t>
      </w:r>
    </w:p>
    <w:p w14:paraId="056CB25F" w14:textId="1899B2FB" w:rsidR="001E275F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E275F" w:rsidRPr="0091003F">
        <w:rPr>
          <w:sz w:val="24"/>
          <w:szCs w:val="24"/>
        </w:rPr>
        <w:t>upport children using equipment and materials in the classroom.</w:t>
      </w:r>
    </w:p>
    <w:p w14:paraId="7383F587" w14:textId="364B17CB" w:rsidR="001E275F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1E275F" w:rsidRPr="0091003F">
        <w:rPr>
          <w:sz w:val="24"/>
          <w:szCs w:val="24"/>
        </w:rPr>
        <w:t>ontribute to the classroom environment</w:t>
      </w:r>
      <w:r w:rsidR="009D0C0C" w:rsidRPr="0091003F">
        <w:rPr>
          <w:sz w:val="24"/>
          <w:szCs w:val="24"/>
        </w:rPr>
        <w:t xml:space="preserve"> in providing stimulating and challenging play opportunities. </w:t>
      </w:r>
    </w:p>
    <w:p w14:paraId="5D9537D2" w14:textId="0D91F102" w:rsidR="009D0C0C" w:rsidRPr="0091003F" w:rsidRDefault="009D0C0C" w:rsidP="00CE36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1003F">
        <w:rPr>
          <w:sz w:val="24"/>
          <w:szCs w:val="24"/>
        </w:rPr>
        <w:lastRenderedPageBreak/>
        <w:t xml:space="preserve">Support children’s play activities - </w:t>
      </w:r>
      <w:r w:rsidR="00CE3608" w:rsidRPr="0091003F">
        <w:rPr>
          <w:sz w:val="24"/>
          <w:szCs w:val="24"/>
        </w:rPr>
        <w:t>listening and talking to children, engaging in child initiated games and role play, scaffolding sharing and cooperation.</w:t>
      </w:r>
    </w:p>
    <w:p w14:paraId="1C3395AC" w14:textId="7DDDC758" w:rsidR="009D0C0C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9D0C0C" w:rsidRPr="0091003F">
        <w:rPr>
          <w:sz w:val="24"/>
          <w:szCs w:val="24"/>
        </w:rPr>
        <w:t>ssist children in ac</w:t>
      </w:r>
      <w:r w:rsidR="00CE3608" w:rsidRPr="0091003F">
        <w:rPr>
          <w:sz w:val="24"/>
          <w:szCs w:val="24"/>
        </w:rPr>
        <w:t>cessing the learning in c</w:t>
      </w:r>
      <w:r w:rsidR="009D0C0C" w:rsidRPr="0091003F">
        <w:rPr>
          <w:sz w:val="24"/>
          <w:szCs w:val="24"/>
        </w:rPr>
        <w:t>ircle times and group activities.</w:t>
      </w:r>
    </w:p>
    <w:p w14:paraId="4FE02529" w14:textId="2CE5F176" w:rsidR="00CE3608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9D0C0C" w:rsidRPr="0091003F">
        <w:rPr>
          <w:sz w:val="24"/>
          <w:szCs w:val="24"/>
        </w:rPr>
        <w:t>ork on a one-to-one basis with pupils of all abilities</w:t>
      </w:r>
    </w:p>
    <w:p w14:paraId="48F32275" w14:textId="29EDF9DA" w:rsidR="009D0C0C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E3608" w:rsidRPr="0091003F">
        <w:rPr>
          <w:sz w:val="24"/>
          <w:szCs w:val="24"/>
        </w:rPr>
        <w:t>upport learning in all areas including literacy, phonics, numeracy, practical activities, craft projects and topic</w:t>
      </w:r>
      <w:r>
        <w:rPr>
          <w:sz w:val="24"/>
          <w:szCs w:val="24"/>
        </w:rPr>
        <w:t>-</w:t>
      </w:r>
      <w:r w:rsidR="00CE3608" w:rsidRPr="0091003F">
        <w:rPr>
          <w:sz w:val="24"/>
          <w:szCs w:val="24"/>
        </w:rPr>
        <w:t>based focus activities.</w:t>
      </w:r>
    </w:p>
    <w:p w14:paraId="512134D5" w14:textId="0CB303E2" w:rsidR="00216712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216712" w:rsidRPr="0091003F">
        <w:rPr>
          <w:sz w:val="24"/>
          <w:szCs w:val="24"/>
        </w:rPr>
        <w:t>ontribute to assessment and child observations, including c</w:t>
      </w:r>
      <w:r w:rsidR="00F87C5A" w:rsidRPr="0091003F">
        <w:rPr>
          <w:sz w:val="24"/>
          <w:szCs w:val="24"/>
        </w:rPr>
        <w:t>ompiling Learning Journeys and P</w:t>
      </w:r>
      <w:r w:rsidR="00216712" w:rsidRPr="0091003F">
        <w:rPr>
          <w:sz w:val="24"/>
          <w:szCs w:val="24"/>
        </w:rPr>
        <w:t xml:space="preserve">rofiles. </w:t>
      </w:r>
    </w:p>
    <w:p w14:paraId="01F4A1A7" w14:textId="57102288" w:rsidR="00216712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216712" w:rsidRPr="0091003F">
        <w:rPr>
          <w:sz w:val="24"/>
          <w:szCs w:val="24"/>
        </w:rPr>
        <w:t>ontribute to classroom planning and children’s next steps in their learning.</w:t>
      </w:r>
    </w:p>
    <w:p w14:paraId="20EA4814" w14:textId="4B7C815D" w:rsidR="009272C3" w:rsidRPr="0091003F" w:rsidRDefault="003A6934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9272C3" w:rsidRPr="0091003F">
        <w:rPr>
          <w:sz w:val="24"/>
          <w:szCs w:val="24"/>
        </w:rPr>
        <w:t>e part of the duty rotas for the supervision of children i</w:t>
      </w:r>
      <w:r w:rsidR="003B66C7">
        <w:rPr>
          <w:sz w:val="24"/>
          <w:szCs w:val="24"/>
        </w:rPr>
        <w:t>ncluding outside and lunch duties.</w:t>
      </w:r>
    </w:p>
    <w:p w14:paraId="56DBFAE3" w14:textId="1D7681E9" w:rsidR="009272C3" w:rsidRPr="0091003F" w:rsidRDefault="009272C3" w:rsidP="009272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1003F">
        <w:rPr>
          <w:sz w:val="24"/>
          <w:szCs w:val="24"/>
        </w:rPr>
        <w:t>In the case of emergency or staff absence, the assistant teacher may be required</w:t>
      </w:r>
      <w:r w:rsidR="00522E95" w:rsidRPr="0091003F">
        <w:rPr>
          <w:sz w:val="24"/>
          <w:szCs w:val="24"/>
        </w:rPr>
        <w:t xml:space="preserve"> to provide cover for a teacher </w:t>
      </w:r>
      <w:r w:rsidR="003A6934">
        <w:rPr>
          <w:sz w:val="24"/>
          <w:szCs w:val="24"/>
        </w:rPr>
        <w:t xml:space="preserve">or other colleague, </w:t>
      </w:r>
      <w:r w:rsidR="00522E95" w:rsidRPr="0091003F">
        <w:rPr>
          <w:sz w:val="24"/>
          <w:szCs w:val="24"/>
        </w:rPr>
        <w:t>as directed by Senior Management.</w:t>
      </w:r>
    </w:p>
    <w:p w14:paraId="12257D73" w14:textId="2ED85C3C" w:rsidR="00216712" w:rsidRDefault="003A6934" w:rsidP="00522E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22E95" w:rsidRPr="0091003F">
        <w:rPr>
          <w:sz w:val="24"/>
          <w:szCs w:val="24"/>
        </w:rPr>
        <w:t>ttend staff meetings and Inset days</w:t>
      </w:r>
      <w:r w:rsidR="00216712" w:rsidRPr="0091003F">
        <w:rPr>
          <w:sz w:val="24"/>
          <w:szCs w:val="24"/>
        </w:rPr>
        <w:t>.</w:t>
      </w:r>
    </w:p>
    <w:p w14:paraId="369BDA3F" w14:textId="718B9A8F" w:rsidR="0015038F" w:rsidRPr="0091003F" w:rsidRDefault="003A6934" w:rsidP="00522E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5038F">
        <w:rPr>
          <w:sz w:val="24"/>
          <w:szCs w:val="24"/>
        </w:rPr>
        <w:t>stablish and maintain a culture of collaboration and cooperative working between colleagues.</w:t>
      </w:r>
    </w:p>
    <w:p w14:paraId="3486F5C7" w14:textId="3A4AAA9B" w:rsidR="001E275F" w:rsidRPr="0091003F" w:rsidRDefault="003A6934" w:rsidP="00522E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E275F" w:rsidRPr="0091003F">
        <w:rPr>
          <w:sz w:val="24"/>
          <w:szCs w:val="24"/>
        </w:rPr>
        <w:t>ttend to children with minor injuries as necessary, assisting with first aid.</w:t>
      </w:r>
    </w:p>
    <w:p w14:paraId="4E2EC347" w14:textId="596C510E" w:rsidR="001E275F" w:rsidRPr="0091003F" w:rsidRDefault="003A6934" w:rsidP="00522E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E275F" w:rsidRPr="0091003F">
        <w:rPr>
          <w:sz w:val="24"/>
          <w:szCs w:val="24"/>
        </w:rPr>
        <w:t>ttend to the personal care needs of children.</w:t>
      </w:r>
    </w:p>
    <w:p w14:paraId="434A54BB" w14:textId="0D046391" w:rsidR="00522E95" w:rsidRDefault="003A6934" w:rsidP="0021671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22E95" w:rsidRPr="0091003F">
        <w:rPr>
          <w:sz w:val="24"/>
          <w:szCs w:val="24"/>
        </w:rPr>
        <w:t xml:space="preserve">omply with policies and procedures relating to child protection, health and safety, welfare, security, </w:t>
      </w:r>
      <w:r w:rsidR="00B30DA4" w:rsidRPr="0091003F">
        <w:rPr>
          <w:sz w:val="24"/>
          <w:szCs w:val="24"/>
        </w:rPr>
        <w:t>confidentiality,</w:t>
      </w:r>
      <w:r w:rsidR="00522E95" w:rsidRPr="0091003F">
        <w:rPr>
          <w:sz w:val="24"/>
          <w:szCs w:val="24"/>
        </w:rPr>
        <w:t xml:space="preserve"> and data protection, reporting any concerns to the appropriate person</w:t>
      </w:r>
      <w:r w:rsidR="00216712" w:rsidRPr="0091003F">
        <w:rPr>
          <w:sz w:val="24"/>
          <w:szCs w:val="24"/>
        </w:rPr>
        <w:t>.</w:t>
      </w:r>
    </w:p>
    <w:p w14:paraId="3B6AAA45" w14:textId="7E4B9EFB" w:rsidR="003A6934" w:rsidRDefault="003A6934" w:rsidP="0021671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Show personal and professional integrity and confidentiality</w:t>
      </w:r>
    </w:p>
    <w:p w14:paraId="361F0DA7" w14:textId="43D50089" w:rsidR="003A6934" w:rsidRDefault="003A6934" w:rsidP="0021671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some cases, assistant teachers may be invited to lead teaching circles, following direction from the class teachers.</w:t>
      </w:r>
    </w:p>
    <w:p w14:paraId="5D827085" w14:textId="7395CFAF" w:rsidR="003A6934" w:rsidRPr="003A6934" w:rsidRDefault="003A6934" w:rsidP="003A6934">
      <w:pPr>
        <w:ind w:left="360"/>
        <w:rPr>
          <w:sz w:val="24"/>
          <w:szCs w:val="24"/>
        </w:rPr>
      </w:pPr>
      <w:r w:rsidRPr="003A6934">
        <w:rPr>
          <w:sz w:val="24"/>
          <w:szCs w:val="24"/>
        </w:rPr>
        <w:t xml:space="preserve">You have a responsibility for promoting and safeguarding the welfare of children and young people for whom you are responsible or with whom you </w:t>
      </w:r>
      <w:proofErr w:type="gramStart"/>
      <w:r w:rsidRPr="003A6934">
        <w:rPr>
          <w:sz w:val="24"/>
          <w:szCs w:val="24"/>
        </w:rPr>
        <w:t>come into contact with</w:t>
      </w:r>
      <w:proofErr w:type="gramEnd"/>
      <w:r w:rsidR="00B9254F">
        <w:rPr>
          <w:sz w:val="24"/>
          <w:szCs w:val="24"/>
        </w:rPr>
        <w:t>,</w:t>
      </w:r>
      <w:bookmarkStart w:id="0" w:name="_GoBack"/>
      <w:bookmarkEnd w:id="0"/>
      <w:r w:rsidRPr="003A6934">
        <w:rPr>
          <w:sz w:val="24"/>
          <w:szCs w:val="24"/>
        </w:rPr>
        <w:t xml:space="preserve"> in the School. It is your responsibility to adhere to and ensure compliance with the School’s </w:t>
      </w:r>
      <w:r>
        <w:rPr>
          <w:sz w:val="24"/>
          <w:szCs w:val="24"/>
        </w:rPr>
        <w:t>S</w:t>
      </w:r>
      <w:r w:rsidRPr="003A6934">
        <w:rPr>
          <w:sz w:val="24"/>
          <w:szCs w:val="24"/>
        </w:rPr>
        <w:t xml:space="preserve">afeguarding and Child Protection Policy </w:t>
      </w:r>
      <w:proofErr w:type="gramStart"/>
      <w:r w:rsidRPr="003A6934">
        <w:rPr>
          <w:sz w:val="24"/>
          <w:szCs w:val="24"/>
        </w:rPr>
        <w:t>at all times</w:t>
      </w:r>
      <w:proofErr w:type="gramEnd"/>
      <w:r w:rsidRPr="003A6934">
        <w:rPr>
          <w:sz w:val="24"/>
          <w:szCs w:val="24"/>
        </w:rPr>
        <w:t>.  If at any time you identify</w:t>
      </w:r>
      <w:r>
        <w:rPr>
          <w:sz w:val="24"/>
          <w:szCs w:val="24"/>
        </w:rPr>
        <w:t xml:space="preserve"> an instance that a child or young person is at risk, you must report your concerns immediately to the Dedicated Safeguarding Lead.</w:t>
      </w:r>
    </w:p>
    <w:p w14:paraId="6773FE27" w14:textId="306CACE7" w:rsidR="0091003F" w:rsidRDefault="0091003F" w:rsidP="0091003F"/>
    <w:p w14:paraId="5431F781" w14:textId="27643888" w:rsidR="003B66C7" w:rsidRDefault="003B66C7" w:rsidP="0091003F"/>
    <w:p w14:paraId="4AD96E88" w14:textId="05B7A354" w:rsidR="003B66C7" w:rsidRDefault="003B66C7" w:rsidP="0091003F"/>
    <w:p w14:paraId="71017A2C" w14:textId="08116FE0" w:rsidR="003B66C7" w:rsidRDefault="003B66C7" w:rsidP="0091003F"/>
    <w:p w14:paraId="1FFD8A5E" w14:textId="5EEA96AA" w:rsidR="003B66C7" w:rsidRDefault="003B66C7" w:rsidP="0091003F"/>
    <w:p w14:paraId="68A2E0E1" w14:textId="4E7FAC90" w:rsidR="003B66C7" w:rsidRDefault="003B66C7" w:rsidP="0091003F"/>
    <w:p w14:paraId="130BEFB3" w14:textId="3A6F75EE" w:rsidR="003B66C7" w:rsidRDefault="003B66C7" w:rsidP="0091003F"/>
    <w:p w14:paraId="610BF543" w14:textId="2B3B7B50" w:rsidR="003B66C7" w:rsidRDefault="003B66C7" w:rsidP="0091003F"/>
    <w:p w14:paraId="046B5631" w14:textId="77777777" w:rsidR="003A6934" w:rsidRDefault="003A6934" w:rsidP="0091003F">
      <w:pPr>
        <w:rPr>
          <w:b/>
          <w:color w:val="1F4E79" w:themeColor="accent5" w:themeShade="80"/>
          <w:sz w:val="28"/>
          <w:szCs w:val="28"/>
        </w:rPr>
      </w:pPr>
    </w:p>
    <w:p w14:paraId="2EDD990F" w14:textId="057F6C53" w:rsidR="00E55E3B" w:rsidRPr="00E55E3B" w:rsidRDefault="00E55E3B" w:rsidP="0091003F">
      <w:pPr>
        <w:rPr>
          <w:b/>
          <w:color w:val="1F4E79" w:themeColor="accent5" w:themeShade="80"/>
          <w:sz w:val="28"/>
          <w:szCs w:val="28"/>
        </w:rPr>
      </w:pPr>
      <w:r w:rsidRPr="00E55E3B">
        <w:rPr>
          <w:b/>
          <w:color w:val="1F4E79" w:themeColor="accent5" w:themeShade="80"/>
          <w:sz w:val="28"/>
          <w:szCs w:val="28"/>
        </w:rPr>
        <w:lastRenderedPageBreak/>
        <w:t xml:space="preserve">Person Specification </w:t>
      </w:r>
    </w:p>
    <w:tbl>
      <w:tblPr>
        <w:tblStyle w:val="TableGrid"/>
        <w:tblW w:w="10915" w:type="dxa"/>
        <w:jc w:val="center"/>
        <w:tblLook w:val="04A0" w:firstRow="1" w:lastRow="0" w:firstColumn="1" w:lastColumn="0" w:noHBand="0" w:noVBand="1"/>
      </w:tblPr>
      <w:tblGrid>
        <w:gridCol w:w="5812"/>
        <w:gridCol w:w="5103"/>
      </w:tblGrid>
      <w:tr w:rsidR="0091003F" w:rsidRPr="0091003F" w14:paraId="578C2C4F" w14:textId="77777777" w:rsidTr="00E55E3B">
        <w:trPr>
          <w:jc w:val="center"/>
        </w:trPr>
        <w:tc>
          <w:tcPr>
            <w:tcW w:w="5812" w:type="dxa"/>
            <w:shd w:val="clear" w:color="auto" w:fill="B4C6E7" w:themeFill="accent1" w:themeFillTint="66"/>
          </w:tcPr>
          <w:p w14:paraId="0F033151" w14:textId="77777777" w:rsidR="0091003F" w:rsidRPr="0091003F" w:rsidRDefault="0091003F" w:rsidP="0091003F">
            <w:pPr>
              <w:spacing w:after="4" w:line="249" w:lineRule="auto"/>
              <w:ind w:left="10" w:right="-808" w:hanging="10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91003F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Essential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0887A9DD" w14:textId="77777777" w:rsidR="0091003F" w:rsidRPr="0091003F" w:rsidRDefault="0091003F" w:rsidP="0091003F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91003F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Desirable</w:t>
            </w:r>
          </w:p>
        </w:tc>
      </w:tr>
      <w:tr w:rsidR="0091003F" w:rsidRPr="0091003F" w14:paraId="5157610F" w14:textId="77777777" w:rsidTr="00E55E3B">
        <w:trPr>
          <w:jc w:val="center"/>
        </w:trPr>
        <w:tc>
          <w:tcPr>
            <w:tcW w:w="5812" w:type="dxa"/>
            <w:shd w:val="clear" w:color="auto" w:fill="B4C6E7" w:themeFill="accent1" w:themeFillTint="66"/>
          </w:tcPr>
          <w:p w14:paraId="378CAA8E" w14:textId="77777777" w:rsidR="0091003F" w:rsidRPr="0091003F" w:rsidRDefault="0091003F" w:rsidP="0091003F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91003F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Qualifications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2A77CF45" w14:textId="77777777" w:rsidR="0091003F" w:rsidRPr="0091003F" w:rsidRDefault="0091003F" w:rsidP="0091003F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</w:p>
        </w:tc>
      </w:tr>
      <w:tr w:rsidR="0091003F" w:rsidRPr="0091003F" w14:paraId="6DD3876C" w14:textId="77777777" w:rsidTr="00E55E3B">
        <w:trPr>
          <w:jc w:val="center"/>
        </w:trPr>
        <w:tc>
          <w:tcPr>
            <w:tcW w:w="5812" w:type="dxa"/>
          </w:tcPr>
          <w:p w14:paraId="203351DF" w14:textId="2AADCB73" w:rsidR="0091003F" w:rsidRPr="0091003F" w:rsidRDefault="00E55E3B" w:rsidP="003A6934">
            <w:pPr>
              <w:numPr>
                <w:ilvl w:val="0"/>
                <w:numId w:val="5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Be a qualified Assistant Teacher with </w:t>
            </w:r>
            <w:r w:rsidR="003A6934">
              <w:rPr>
                <w:rFonts w:eastAsia="Arial" w:cs="Arial"/>
                <w:color w:val="000000"/>
                <w:sz w:val="24"/>
                <w:szCs w:val="24"/>
              </w:rPr>
              <w:t>a full and relevant Level 3 Level 3 qualification or h</w:t>
            </w:r>
            <w:r>
              <w:rPr>
                <w:rFonts w:eastAsia="Arial" w:cs="Arial"/>
                <w:color w:val="000000"/>
                <w:sz w:val="24"/>
                <w:szCs w:val="24"/>
              </w:rPr>
              <w:t>igher</w:t>
            </w:r>
            <w:r w:rsidR="0091003F"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025CDC7" w14:textId="77777777" w:rsidR="00E55E3B" w:rsidRDefault="00E55E3B" w:rsidP="0091003F">
            <w:pPr>
              <w:numPr>
                <w:ilvl w:val="0"/>
                <w:numId w:val="5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Experience of </w:t>
            </w:r>
            <w:r w:rsidR="0091003F"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EYFS Observation, </w:t>
            </w:r>
          </w:p>
          <w:p w14:paraId="6BD88E2F" w14:textId="34D93DB6" w:rsidR="0091003F" w:rsidRPr="0091003F" w:rsidRDefault="0091003F" w:rsidP="003B66C7">
            <w:pPr>
              <w:spacing w:after="4" w:line="249" w:lineRule="auto"/>
              <w:ind w:left="175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Assessment and Planning </w:t>
            </w:r>
          </w:p>
        </w:tc>
      </w:tr>
      <w:tr w:rsidR="0091003F" w:rsidRPr="0091003F" w14:paraId="7D8B77AE" w14:textId="77777777" w:rsidTr="00E55E3B">
        <w:trPr>
          <w:jc w:val="center"/>
        </w:trPr>
        <w:tc>
          <w:tcPr>
            <w:tcW w:w="5812" w:type="dxa"/>
          </w:tcPr>
          <w:p w14:paraId="66FF3F3B" w14:textId="77777777" w:rsidR="0091003F" w:rsidRPr="0091003F" w:rsidRDefault="0091003F" w:rsidP="0091003F">
            <w:pPr>
              <w:numPr>
                <w:ilvl w:val="0"/>
                <w:numId w:val="5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Evidence of CPD and/or school practice  </w:t>
            </w:r>
          </w:p>
        </w:tc>
        <w:tc>
          <w:tcPr>
            <w:tcW w:w="5103" w:type="dxa"/>
          </w:tcPr>
          <w:p w14:paraId="6929A428" w14:textId="49F439BD" w:rsidR="0091003F" w:rsidRPr="0091003F" w:rsidRDefault="00E55E3B" w:rsidP="0091003F">
            <w:pPr>
              <w:numPr>
                <w:ilvl w:val="0"/>
                <w:numId w:val="5"/>
              </w:numPr>
              <w:spacing w:after="4" w:line="249" w:lineRule="auto"/>
              <w:ind w:left="178" w:right="-808" w:hanging="17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First A</w:t>
            </w:r>
            <w:r w:rsidR="0091003F" w:rsidRPr="0091003F">
              <w:rPr>
                <w:rFonts w:eastAsia="Arial" w:cs="Arial"/>
                <w:color w:val="000000"/>
                <w:sz w:val="24"/>
                <w:szCs w:val="24"/>
              </w:rPr>
              <w:t>id qualification</w:t>
            </w:r>
          </w:p>
        </w:tc>
      </w:tr>
      <w:tr w:rsidR="0091003F" w:rsidRPr="0091003F" w14:paraId="57B9DC16" w14:textId="77777777" w:rsidTr="00E55E3B">
        <w:trPr>
          <w:jc w:val="center"/>
        </w:trPr>
        <w:tc>
          <w:tcPr>
            <w:tcW w:w="5812" w:type="dxa"/>
            <w:shd w:val="clear" w:color="auto" w:fill="B4C6E7" w:themeFill="accent1" w:themeFillTint="66"/>
          </w:tcPr>
          <w:p w14:paraId="324773DE" w14:textId="77777777" w:rsidR="0091003F" w:rsidRPr="0091003F" w:rsidRDefault="0091003F" w:rsidP="0091003F">
            <w:pPr>
              <w:spacing w:after="4" w:line="249" w:lineRule="auto"/>
              <w:ind w:left="10" w:right="-808" w:hanging="10"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91003F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Experience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7A34D41A" w14:textId="77777777" w:rsidR="0091003F" w:rsidRPr="0091003F" w:rsidRDefault="0091003F" w:rsidP="0091003F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91003F" w:rsidRPr="0091003F" w14:paraId="7ABE33D6" w14:textId="77777777" w:rsidTr="00E55E3B">
        <w:trPr>
          <w:jc w:val="center"/>
        </w:trPr>
        <w:tc>
          <w:tcPr>
            <w:tcW w:w="5812" w:type="dxa"/>
          </w:tcPr>
          <w:p w14:paraId="103D0E8A" w14:textId="462B9C58" w:rsidR="0091003F" w:rsidRPr="0091003F" w:rsidRDefault="00E55E3B" w:rsidP="0091003F">
            <w:pPr>
              <w:numPr>
                <w:ilvl w:val="0"/>
                <w:numId w:val="6"/>
              </w:numPr>
              <w:spacing w:after="4" w:line="249" w:lineRule="auto"/>
              <w:ind w:left="176" w:right="-808" w:hanging="142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Prior</w:t>
            </w:r>
            <w:r w:rsidR="0091003F"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experience of </w:t>
            </w:r>
            <w:r w:rsidR="0091003F" w:rsidRPr="0091003F">
              <w:rPr>
                <w:rFonts w:eastAsia="Arial" w:cs="Arial"/>
                <w:color w:val="000000"/>
                <w:sz w:val="24"/>
                <w:szCs w:val="24"/>
              </w:rPr>
              <w:t>EYFS</w:t>
            </w: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 </w:t>
            </w:r>
            <w:r w:rsidR="0091003F"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14:paraId="7DF94809" w14:textId="77777777" w:rsidR="00E55E3B" w:rsidRDefault="0091003F" w:rsidP="0091003F">
            <w:pPr>
              <w:numPr>
                <w:ilvl w:val="0"/>
                <w:numId w:val="6"/>
              </w:numPr>
              <w:spacing w:after="4" w:line="249" w:lineRule="auto"/>
              <w:ind w:left="176" w:right="-808" w:hanging="176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Knowledge and understanding of the </w:t>
            </w:r>
          </w:p>
          <w:p w14:paraId="2EC29AED" w14:textId="1B324BB5" w:rsidR="0091003F" w:rsidRPr="0091003F" w:rsidRDefault="00E55E3B" w:rsidP="00E55E3B">
            <w:pPr>
              <w:spacing w:after="4" w:line="249" w:lineRule="auto"/>
              <w:ind w:left="176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EYFS curriculum </w:t>
            </w:r>
            <w:r w:rsidR="0091003F" w:rsidRPr="0091003F">
              <w:rPr>
                <w:rFonts w:eastAsia="Arial" w:cs="Arial"/>
                <w:color w:val="000000"/>
                <w:sz w:val="24"/>
                <w:szCs w:val="24"/>
              </w:rPr>
              <w:t>and its assessment</w:t>
            </w:r>
          </w:p>
        </w:tc>
      </w:tr>
      <w:tr w:rsidR="0091003F" w:rsidRPr="0091003F" w14:paraId="1364E503" w14:textId="77777777" w:rsidTr="00E55E3B">
        <w:trPr>
          <w:jc w:val="center"/>
        </w:trPr>
        <w:tc>
          <w:tcPr>
            <w:tcW w:w="5812" w:type="dxa"/>
            <w:shd w:val="clear" w:color="auto" w:fill="B4C6E7" w:themeFill="accent1" w:themeFillTint="66"/>
          </w:tcPr>
          <w:p w14:paraId="515DE18D" w14:textId="77777777" w:rsidR="0091003F" w:rsidRPr="0091003F" w:rsidRDefault="0091003F" w:rsidP="0091003F">
            <w:pPr>
              <w:spacing w:after="4" w:line="249" w:lineRule="auto"/>
              <w:ind w:left="10" w:right="-808" w:hanging="10"/>
              <w:jc w:val="both"/>
              <w:rPr>
                <w:rFonts w:eastAsia="Arial" w:cs="Arial"/>
                <w:b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Skills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19A2BE22" w14:textId="77777777" w:rsidR="0091003F" w:rsidRPr="0091003F" w:rsidRDefault="0091003F" w:rsidP="0091003F">
            <w:pPr>
              <w:spacing w:after="4" w:line="249" w:lineRule="auto"/>
              <w:ind w:left="176" w:right="-808" w:hanging="176"/>
              <w:rPr>
                <w:rFonts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91003F" w:rsidRPr="0091003F" w14:paraId="030BED7E" w14:textId="77777777" w:rsidTr="00E55E3B">
        <w:trPr>
          <w:jc w:val="center"/>
        </w:trPr>
        <w:tc>
          <w:tcPr>
            <w:tcW w:w="5812" w:type="dxa"/>
          </w:tcPr>
          <w:p w14:paraId="2B67473E" w14:textId="77777777" w:rsidR="0091003F" w:rsidRPr="0091003F" w:rsidRDefault="0091003F" w:rsidP="0091003F">
            <w:pPr>
              <w:numPr>
                <w:ilvl w:val="0"/>
                <w:numId w:val="6"/>
              </w:numPr>
              <w:spacing w:after="4" w:line="249" w:lineRule="auto"/>
              <w:ind w:left="176" w:right="-808" w:hanging="142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Excellent behaviour management skills</w:t>
            </w:r>
          </w:p>
        </w:tc>
        <w:tc>
          <w:tcPr>
            <w:tcW w:w="5103" w:type="dxa"/>
          </w:tcPr>
          <w:p w14:paraId="3424CE52" w14:textId="77777777" w:rsidR="0091003F" w:rsidRPr="0091003F" w:rsidRDefault="0091003F" w:rsidP="0091003F">
            <w:pPr>
              <w:spacing w:after="4" w:line="249" w:lineRule="auto"/>
              <w:ind w:left="176" w:right="-808" w:hanging="176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75D739E6" w14:textId="77777777" w:rsidTr="00E55E3B">
        <w:trPr>
          <w:jc w:val="center"/>
        </w:trPr>
        <w:tc>
          <w:tcPr>
            <w:tcW w:w="5812" w:type="dxa"/>
          </w:tcPr>
          <w:p w14:paraId="59ACD5B5" w14:textId="77777777" w:rsidR="00E55E3B" w:rsidRDefault="0091003F" w:rsidP="0091003F">
            <w:pPr>
              <w:numPr>
                <w:ilvl w:val="0"/>
                <w:numId w:val="6"/>
              </w:numPr>
              <w:spacing w:after="4" w:line="249" w:lineRule="auto"/>
              <w:ind w:left="176" w:right="-808" w:hanging="142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Have a thorough up-to-date knowledge of the </w:t>
            </w:r>
          </w:p>
          <w:p w14:paraId="7BA2BC1C" w14:textId="229217EE" w:rsidR="0091003F" w:rsidRPr="0091003F" w:rsidRDefault="0091003F" w:rsidP="00E55E3B">
            <w:pPr>
              <w:spacing w:after="4" w:line="249" w:lineRule="auto"/>
              <w:ind w:left="176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EYFS curriculum</w:t>
            </w:r>
          </w:p>
        </w:tc>
        <w:tc>
          <w:tcPr>
            <w:tcW w:w="5103" w:type="dxa"/>
          </w:tcPr>
          <w:p w14:paraId="2D176700" w14:textId="77777777" w:rsidR="0091003F" w:rsidRPr="0091003F" w:rsidRDefault="0091003F" w:rsidP="0091003F">
            <w:pPr>
              <w:spacing w:after="4" w:line="249" w:lineRule="auto"/>
              <w:ind w:left="176" w:right="-808" w:hanging="176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40D8CE32" w14:textId="77777777" w:rsidTr="00E55E3B">
        <w:trPr>
          <w:jc w:val="center"/>
        </w:trPr>
        <w:tc>
          <w:tcPr>
            <w:tcW w:w="5812" w:type="dxa"/>
          </w:tcPr>
          <w:p w14:paraId="57A9C753" w14:textId="77777777" w:rsidR="00E55E3B" w:rsidRDefault="0091003F" w:rsidP="0091003F">
            <w:pPr>
              <w:numPr>
                <w:ilvl w:val="0"/>
                <w:numId w:val="6"/>
              </w:numPr>
              <w:tabs>
                <w:tab w:val="left" w:pos="2019"/>
              </w:tabs>
              <w:spacing w:after="4" w:line="249" w:lineRule="auto"/>
              <w:ind w:left="175" w:right="-808" w:hanging="142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Established professional relationship with </w:t>
            </w:r>
          </w:p>
          <w:p w14:paraId="5CD510A8" w14:textId="568F6F32" w:rsidR="0091003F" w:rsidRPr="0091003F" w:rsidRDefault="0091003F" w:rsidP="00E55E3B">
            <w:pPr>
              <w:tabs>
                <w:tab w:val="left" w:pos="2019"/>
              </w:tabs>
              <w:spacing w:after="4" w:line="249" w:lineRule="auto"/>
              <w:ind w:left="175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children and families</w:t>
            </w:r>
          </w:p>
        </w:tc>
        <w:tc>
          <w:tcPr>
            <w:tcW w:w="5103" w:type="dxa"/>
          </w:tcPr>
          <w:p w14:paraId="74ECF0A5" w14:textId="77777777" w:rsidR="0091003F" w:rsidRPr="0091003F" w:rsidRDefault="0091003F" w:rsidP="0091003F">
            <w:pPr>
              <w:spacing w:after="4" w:line="249" w:lineRule="auto"/>
              <w:ind w:left="176" w:right="-808" w:hanging="176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1C098210" w14:textId="77777777" w:rsidTr="00E55E3B">
        <w:trPr>
          <w:jc w:val="center"/>
        </w:trPr>
        <w:tc>
          <w:tcPr>
            <w:tcW w:w="5812" w:type="dxa"/>
            <w:shd w:val="clear" w:color="auto" w:fill="B4C6E7" w:themeFill="accent1" w:themeFillTint="66"/>
          </w:tcPr>
          <w:p w14:paraId="04FF2DAE" w14:textId="77777777" w:rsidR="0091003F" w:rsidRPr="0091003F" w:rsidRDefault="0091003F" w:rsidP="0091003F">
            <w:pPr>
              <w:spacing w:after="4" w:line="249" w:lineRule="auto"/>
              <w:ind w:left="-108" w:right="-808" w:firstLine="108"/>
              <w:contextualSpacing/>
              <w:jc w:val="both"/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</w:pPr>
            <w:r w:rsidRPr="0091003F">
              <w:rPr>
                <w:rFonts w:eastAsia="Arial" w:cs="Arial"/>
                <w:b/>
                <w:color w:val="1F4E79" w:themeColor="accent5" w:themeShade="80"/>
                <w:sz w:val="24"/>
                <w:szCs w:val="24"/>
              </w:rPr>
              <w:t>Knowledge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4C8817E5" w14:textId="77777777" w:rsidR="0091003F" w:rsidRPr="0091003F" w:rsidRDefault="0091003F" w:rsidP="0091003F">
            <w:pPr>
              <w:spacing w:after="4" w:line="249" w:lineRule="auto"/>
              <w:ind w:left="176" w:right="-808" w:hanging="176"/>
              <w:rPr>
                <w:rFonts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91003F" w:rsidRPr="0091003F" w14:paraId="7CDE7F02" w14:textId="77777777" w:rsidTr="00E55E3B">
        <w:trPr>
          <w:jc w:val="center"/>
        </w:trPr>
        <w:tc>
          <w:tcPr>
            <w:tcW w:w="5812" w:type="dxa"/>
          </w:tcPr>
          <w:p w14:paraId="33CF596F" w14:textId="77777777" w:rsidR="0091003F" w:rsidRPr="0091003F" w:rsidRDefault="0091003F" w:rsidP="0091003F">
            <w:pPr>
              <w:numPr>
                <w:ilvl w:val="0"/>
                <w:numId w:val="6"/>
              </w:numPr>
              <w:spacing w:after="4" w:line="249" w:lineRule="auto"/>
              <w:ind w:left="176" w:right="-808" w:hanging="142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Be a reflective practitioner</w:t>
            </w:r>
          </w:p>
        </w:tc>
        <w:tc>
          <w:tcPr>
            <w:tcW w:w="5103" w:type="dxa"/>
          </w:tcPr>
          <w:p w14:paraId="34A6C4F3" w14:textId="77777777" w:rsidR="0091003F" w:rsidRPr="0091003F" w:rsidRDefault="0091003F" w:rsidP="0091003F">
            <w:pPr>
              <w:numPr>
                <w:ilvl w:val="0"/>
                <w:numId w:val="6"/>
              </w:numPr>
              <w:spacing w:after="4" w:line="249" w:lineRule="auto"/>
              <w:ind w:left="176" w:right="-808" w:hanging="176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Knowledge of the independent school sector</w:t>
            </w:r>
          </w:p>
        </w:tc>
      </w:tr>
      <w:tr w:rsidR="0091003F" w:rsidRPr="0091003F" w14:paraId="6872A3F8" w14:textId="77777777" w:rsidTr="00E55E3B">
        <w:trPr>
          <w:jc w:val="center"/>
        </w:trPr>
        <w:tc>
          <w:tcPr>
            <w:tcW w:w="5812" w:type="dxa"/>
          </w:tcPr>
          <w:p w14:paraId="37C452FF" w14:textId="739F512A" w:rsidR="00E55E3B" w:rsidRDefault="00DC19B7" w:rsidP="0091003F">
            <w:pPr>
              <w:numPr>
                <w:ilvl w:val="0"/>
                <w:numId w:val="6"/>
              </w:numPr>
              <w:spacing w:after="4" w:line="249" w:lineRule="auto"/>
              <w:ind w:left="176" w:right="-808" w:hanging="142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A sound</w:t>
            </w:r>
            <w:r w:rsidR="0091003F"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 knowledge of child protection and </w:t>
            </w:r>
          </w:p>
          <w:p w14:paraId="309D1C2E" w14:textId="7697C743" w:rsidR="0091003F" w:rsidRPr="0091003F" w:rsidRDefault="0091003F" w:rsidP="00E55E3B">
            <w:pPr>
              <w:spacing w:after="4" w:line="249" w:lineRule="auto"/>
              <w:ind w:left="176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safeguarding</w:t>
            </w:r>
          </w:p>
        </w:tc>
        <w:tc>
          <w:tcPr>
            <w:tcW w:w="5103" w:type="dxa"/>
          </w:tcPr>
          <w:p w14:paraId="164ECF47" w14:textId="77777777" w:rsidR="0091003F" w:rsidRPr="0091003F" w:rsidRDefault="0091003F" w:rsidP="0091003F">
            <w:pPr>
              <w:spacing w:after="4" w:line="249" w:lineRule="auto"/>
              <w:ind w:left="-108" w:right="-808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40198398" w14:textId="77777777" w:rsidTr="00E55E3B">
        <w:trPr>
          <w:jc w:val="center"/>
        </w:trPr>
        <w:tc>
          <w:tcPr>
            <w:tcW w:w="5812" w:type="dxa"/>
          </w:tcPr>
          <w:p w14:paraId="76812598" w14:textId="77777777" w:rsidR="00E55E3B" w:rsidRDefault="0091003F" w:rsidP="0091003F">
            <w:pPr>
              <w:numPr>
                <w:ilvl w:val="0"/>
                <w:numId w:val="6"/>
              </w:numPr>
              <w:spacing w:after="4" w:line="249" w:lineRule="auto"/>
              <w:ind w:left="176" w:right="-808" w:hanging="142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Thorough understanding of the development and </w:t>
            </w:r>
          </w:p>
          <w:p w14:paraId="2AAAEE8C" w14:textId="46D8DED7" w:rsidR="0091003F" w:rsidRPr="0091003F" w:rsidRDefault="0091003F" w:rsidP="00E55E3B">
            <w:pPr>
              <w:spacing w:after="4" w:line="249" w:lineRule="auto"/>
              <w:ind w:left="176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learning needs of young children</w:t>
            </w:r>
          </w:p>
        </w:tc>
        <w:tc>
          <w:tcPr>
            <w:tcW w:w="5103" w:type="dxa"/>
          </w:tcPr>
          <w:p w14:paraId="7A8E4C7E" w14:textId="77777777" w:rsidR="0091003F" w:rsidRPr="0091003F" w:rsidRDefault="0091003F" w:rsidP="0091003F">
            <w:pPr>
              <w:spacing w:after="4" w:line="249" w:lineRule="auto"/>
              <w:ind w:left="-108"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620E5478" w14:textId="77777777" w:rsidTr="00E55E3B">
        <w:trPr>
          <w:jc w:val="center"/>
        </w:trPr>
        <w:tc>
          <w:tcPr>
            <w:tcW w:w="5812" w:type="dxa"/>
          </w:tcPr>
          <w:p w14:paraId="06CD0CE9" w14:textId="77777777" w:rsidR="00E55E3B" w:rsidRDefault="0091003F" w:rsidP="0091003F">
            <w:pPr>
              <w:numPr>
                <w:ilvl w:val="0"/>
                <w:numId w:val="6"/>
              </w:numPr>
              <w:tabs>
                <w:tab w:val="left" w:pos="2019"/>
              </w:tabs>
              <w:spacing w:after="4" w:line="249" w:lineRule="auto"/>
              <w:ind w:left="175" w:right="-808" w:hanging="142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Knowledge of health and safety issues </w:t>
            </w:r>
          </w:p>
          <w:p w14:paraId="2DDA47F2" w14:textId="08E9A78A" w:rsidR="0091003F" w:rsidRPr="0091003F" w:rsidRDefault="0091003F" w:rsidP="00E55E3B">
            <w:pPr>
              <w:tabs>
                <w:tab w:val="left" w:pos="2019"/>
              </w:tabs>
              <w:spacing w:after="4" w:line="249" w:lineRule="auto"/>
              <w:ind w:left="175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relevant to this age group</w:t>
            </w:r>
          </w:p>
        </w:tc>
        <w:tc>
          <w:tcPr>
            <w:tcW w:w="5103" w:type="dxa"/>
          </w:tcPr>
          <w:p w14:paraId="2A06CDB5" w14:textId="77777777" w:rsidR="0091003F" w:rsidRPr="0091003F" w:rsidRDefault="0091003F" w:rsidP="0091003F">
            <w:pPr>
              <w:spacing w:after="4" w:line="249" w:lineRule="auto"/>
              <w:ind w:left="-108"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40619028" w14:textId="77777777" w:rsidTr="00E55E3B">
        <w:trPr>
          <w:jc w:val="center"/>
        </w:trPr>
        <w:tc>
          <w:tcPr>
            <w:tcW w:w="5812" w:type="dxa"/>
            <w:shd w:val="clear" w:color="auto" w:fill="B4C6E7" w:themeFill="accent1" w:themeFillTint="66"/>
          </w:tcPr>
          <w:p w14:paraId="3DFBE8FD" w14:textId="77777777" w:rsidR="0091003F" w:rsidRPr="0091003F" w:rsidRDefault="0091003F" w:rsidP="0091003F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b/>
                <w:color w:val="000000"/>
                <w:sz w:val="24"/>
                <w:szCs w:val="24"/>
              </w:rPr>
              <w:t>Personal qualities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0425FCD8" w14:textId="77777777" w:rsidR="0091003F" w:rsidRPr="0091003F" w:rsidRDefault="0091003F" w:rsidP="0091003F">
            <w:pPr>
              <w:spacing w:after="4" w:line="249" w:lineRule="auto"/>
              <w:ind w:right="-808"/>
              <w:jc w:val="both"/>
              <w:rPr>
                <w:rFonts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91003F" w:rsidRPr="0091003F" w14:paraId="0316BC19" w14:textId="77777777" w:rsidTr="00E55E3B">
        <w:trPr>
          <w:jc w:val="center"/>
        </w:trPr>
        <w:tc>
          <w:tcPr>
            <w:tcW w:w="5812" w:type="dxa"/>
          </w:tcPr>
          <w:p w14:paraId="79E43661" w14:textId="77777777" w:rsidR="0091003F" w:rsidRPr="0091003F" w:rsidRDefault="0091003F" w:rsidP="0091003F">
            <w:pPr>
              <w:numPr>
                <w:ilvl w:val="0"/>
                <w:numId w:val="4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Motivation to work with young children</w:t>
            </w:r>
          </w:p>
        </w:tc>
        <w:tc>
          <w:tcPr>
            <w:tcW w:w="5103" w:type="dxa"/>
            <w:shd w:val="clear" w:color="auto" w:fill="FFFFFF" w:themeFill="background1"/>
          </w:tcPr>
          <w:p w14:paraId="43071E00" w14:textId="77777777" w:rsidR="0091003F" w:rsidRPr="0091003F" w:rsidRDefault="0091003F" w:rsidP="0091003F">
            <w:pPr>
              <w:numPr>
                <w:ilvl w:val="0"/>
                <w:numId w:val="7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Demonstrate emotional intelligence</w:t>
            </w:r>
          </w:p>
        </w:tc>
      </w:tr>
      <w:tr w:rsidR="0091003F" w:rsidRPr="0091003F" w14:paraId="38CC5FAA" w14:textId="77777777" w:rsidTr="00E55E3B">
        <w:trPr>
          <w:jc w:val="center"/>
        </w:trPr>
        <w:tc>
          <w:tcPr>
            <w:tcW w:w="5812" w:type="dxa"/>
          </w:tcPr>
          <w:p w14:paraId="1A3AB33F" w14:textId="4E81D2B2" w:rsidR="0091003F" w:rsidRPr="00DC19B7" w:rsidRDefault="0091003F" w:rsidP="00DC19B7">
            <w:pPr>
              <w:numPr>
                <w:ilvl w:val="0"/>
                <w:numId w:val="4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Excellent c</w:t>
            </w:r>
            <w:r w:rsidR="00DC19B7">
              <w:rPr>
                <w:rFonts w:eastAsia="Arial" w:cs="Arial"/>
                <w:color w:val="000000"/>
                <w:sz w:val="24"/>
                <w:szCs w:val="24"/>
              </w:rPr>
              <w:t>ommunication skills</w:t>
            </w:r>
          </w:p>
        </w:tc>
        <w:tc>
          <w:tcPr>
            <w:tcW w:w="5103" w:type="dxa"/>
            <w:shd w:val="clear" w:color="auto" w:fill="FFFFFF" w:themeFill="background1"/>
          </w:tcPr>
          <w:p w14:paraId="58FB3927" w14:textId="657CDEAA" w:rsidR="0091003F" w:rsidRPr="0091003F" w:rsidRDefault="0091003F" w:rsidP="00DC19B7">
            <w:pPr>
              <w:spacing w:after="4" w:line="249" w:lineRule="auto"/>
              <w:ind w:left="175" w:right="-80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5E141AC4" w14:textId="77777777" w:rsidTr="00E55E3B">
        <w:trPr>
          <w:jc w:val="center"/>
        </w:trPr>
        <w:tc>
          <w:tcPr>
            <w:tcW w:w="5812" w:type="dxa"/>
          </w:tcPr>
          <w:p w14:paraId="137ED613" w14:textId="77777777" w:rsidR="0091003F" w:rsidRPr="0091003F" w:rsidRDefault="0091003F" w:rsidP="0091003F">
            <w:pPr>
              <w:numPr>
                <w:ilvl w:val="0"/>
                <w:numId w:val="4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Continuous updating of own skills</w:t>
            </w:r>
          </w:p>
        </w:tc>
        <w:tc>
          <w:tcPr>
            <w:tcW w:w="5103" w:type="dxa"/>
          </w:tcPr>
          <w:p w14:paraId="03E75E2A" w14:textId="77777777" w:rsidR="0091003F" w:rsidRPr="0091003F" w:rsidRDefault="0091003F" w:rsidP="0091003F">
            <w:pPr>
              <w:numPr>
                <w:ilvl w:val="0"/>
                <w:numId w:val="5"/>
              </w:numPr>
              <w:spacing w:after="4" w:line="249" w:lineRule="auto"/>
              <w:ind w:left="178" w:right="-808" w:hanging="178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Ability to work under pressure</w:t>
            </w:r>
          </w:p>
        </w:tc>
      </w:tr>
      <w:tr w:rsidR="0091003F" w:rsidRPr="0091003F" w14:paraId="4993284E" w14:textId="77777777" w:rsidTr="00E55E3B">
        <w:trPr>
          <w:jc w:val="center"/>
        </w:trPr>
        <w:tc>
          <w:tcPr>
            <w:tcW w:w="5812" w:type="dxa"/>
          </w:tcPr>
          <w:p w14:paraId="4453C32B" w14:textId="77777777" w:rsidR="0091003F" w:rsidRPr="0091003F" w:rsidRDefault="0091003F" w:rsidP="0091003F">
            <w:pPr>
              <w:numPr>
                <w:ilvl w:val="0"/>
                <w:numId w:val="4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Models good practice and engages in self-reflection</w:t>
            </w:r>
          </w:p>
        </w:tc>
        <w:tc>
          <w:tcPr>
            <w:tcW w:w="5103" w:type="dxa"/>
          </w:tcPr>
          <w:p w14:paraId="5C732D06" w14:textId="77777777" w:rsidR="0091003F" w:rsidRPr="0091003F" w:rsidRDefault="0091003F" w:rsidP="0091003F">
            <w:pPr>
              <w:numPr>
                <w:ilvl w:val="0"/>
                <w:numId w:val="4"/>
              </w:numPr>
              <w:spacing w:after="4" w:line="249" w:lineRule="auto"/>
              <w:ind w:left="177" w:right="-808" w:hanging="177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Involvement in the life of the school</w:t>
            </w:r>
          </w:p>
        </w:tc>
      </w:tr>
      <w:tr w:rsidR="0091003F" w:rsidRPr="0091003F" w14:paraId="2D878A10" w14:textId="77777777" w:rsidTr="00E55E3B">
        <w:trPr>
          <w:jc w:val="center"/>
        </w:trPr>
        <w:tc>
          <w:tcPr>
            <w:tcW w:w="5812" w:type="dxa"/>
          </w:tcPr>
          <w:p w14:paraId="2D7E0C1B" w14:textId="77777777" w:rsidR="0091003F" w:rsidRPr="0091003F" w:rsidRDefault="0091003F" w:rsidP="0091003F">
            <w:pPr>
              <w:numPr>
                <w:ilvl w:val="0"/>
                <w:numId w:val="4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Organised, self-disciplined, reliable and conscientious  </w:t>
            </w:r>
          </w:p>
        </w:tc>
        <w:tc>
          <w:tcPr>
            <w:tcW w:w="5103" w:type="dxa"/>
            <w:shd w:val="clear" w:color="auto" w:fill="FFFFFF" w:themeFill="background1"/>
          </w:tcPr>
          <w:p w14:paraId="57A3447E" w14:textId="77777777" w:rsidR="0091003F" w:rsidRPr="0091003F" w:rsidRDefault="0091003F" w:rsidP="0091003F">
            <w:pPr>
              <w:spacing w:after="4" w:line="249" w:lineRule="auto"/>
              <w:ind w:left="178" w:right="-808"/>
              <w:contextualSpacing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6FA6A93E" w14:textId="77777777" w:rsidTr="00E55E3B">
        <w:trPr>
          <w:jc w:val="center"/>
        </w:trPr>
        <w:tc>
          <w:tcPr>
            <w:tcW w:w="5812" w:type="dxa"/>
          </w:tcPr>
          <w:p w14:paraId="43C85E0E" w14:textId="77777777" w:rsidR="0091003F" w:rsidRPr="0091003F" w:rsidRDefault="0091003F" w:rsidP="0091003F">
            <w:pPr>
              <w:numPr>
                <w:ilvl w:val="0"/>
                <w:numId w:val="4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Inspiring and influential</w:t>
            </w:r>
          </w:p>
        </w:tc>
        <w:tc>
          <w:tcPr>
            <w:tcW w:w="5103" w:type="dxa"/>
          </w:tcPr>
          <w:p w14:paraId="78CD1B8B" w14:textId="77777777" w:rsidR="0091003F" w:rsidRPr="0091003F" w:rsidRDefault="0091003F" w:rsidP="0091003F">
            <w:pPr>
              <w:spacing w:after="4" w:line="249" w:lineRule="auto"/>
              <w:ind w:left="10" w:right="-808" w:hanging="10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6733BEDC" w14:textId="77777777" w:rsidTr="00E55E3B">
        <w:trPr>
          <w:jc w:val="center"/>
        </w:trPr>
        <w:tc>
          <w:tcPr>
            <w:tcW w:w="5812" w:type="dxa"/>
            <w:shd w:val="clear" w:color="auto" w:fill="FFFFFF" w:themeFill="background1"/>
          </w:tcPr>
          <w:p w14:paraId="67B79234" w14:textId="77777777" w:rsidR="0091003F" w:rsidRPr="0091003F" w:rsidRDefault="0091003F" w:rsidP="0091003F">
            <w:pPr>
              <w:numPr>
                <w:ilvl w:val="0"/>
                <w:numId w:val="4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Good attendance</w:t>
            </w:r>
          </w:p>
        </w:tc>
        <w:tc>
          <w:tcPr>
            <w:tcW w:w="5103" w:type="dxa"/>
            <w:shd w:val="clear" w:color="auto" w:fill="FFFFFF" w:themeFill="background1"/>
          </w:tcPr>
          <w:p w14:paraId="0870B746" w14:textId="77777777" w:rsidR="0091003F" w:rsidRPr="0091003F" w:rsidRDefault="0091003F" w:rsidP="0091003F">
            <w:pPr>
              <w:spacing w:after="4" w:line="249" w:lineRule="auto"/>
              <w:ind w:left="178" w:right="-808"/>
              <w:contextualSpacing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0B201A6F" w14:textId="77777777" w:rsidTr="00E55E3B">
        <w:trPr>
          <w:jc w:val="center"/>
        </w:trPr>
        <w:tc>
          <w:tcPr>
            <w:tcW w:w="5812" w:type="dxa"/>
          </w:tcPr>
          <w:p w14:paraId="472DF43C" w14:textId="77777777" w:rsidR="0091003F" w:rsidRPr="0091003F" w:rsidRDefault="0091003F" w:rsidP="0091003F">
            <w:pPr>
              <w:numPr>
                <w:ilvl w:val="0"/>
                <w:numId w:val="5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Sense of humour </w:t>
            </w:r>
          </w:p>
        </w:tc>
        <w:tc>
          <w:tcPr>
            <w:tcW w:w="5103" w:type="dxa"/>
            <w:shd w:val="clear" w:color="auto" w:fill="FFFFFF" w:themeFill="background1"/>
          </w:tcPr>
          <w:p w14:paraId="48FF745E" w14:textId="77777777" w:rsidR="0091003F" w:rsidRPr="0091003F" w:rsidRDefault="0091003F" w:rsidP="0091003F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0E9538FC" w14:textId="77777777" w:rsidTr="00E55E3B">
        <w:trPr>
          <w:jc w:val="center"/>
        </w:trPr>
        <w:tc>
          <w:tcPr>
            <w:tcW w:w="5812" w:type="dxa"/>
          </w:tcPr>
          <w:p w14:paraId="69A2D775" w14:textId="77777777" w:rsidR="0091003F" w:rsidRPr="0091003F" w:rsidRDefault="0091003F" w:rsidP="0091003F">
            <w:pPr>
              <w:numPr>
                <w:ilvl w:val="0"/>
                <w:numId w:val="5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 xml:space="preserve">Be presentable </w:t>
            </w:r>
            <w:proofErr w:type="gramStart"/>
            <w:r w:rsidRPr="0091003F">
              <w:rPr>
                <w:rFonts w:eastAsia="Arial" w:cs="Arial"/>
                <w:color w:val="000000"/>
                <w:sz w:val="24"/>
                <w:szCs w:val="24"/>
              </w:rPr>
              <w:t>at all times</w:t>
            </w:r>
            <w:proofErr w:type="gramEnd"/>
          </w:p>
        </w:tc>
        <w:tc>
          <w:tcPr>
            <w:tcW w:w="5103" w:type="dxa"/>
            <w:shd w:val="clear" w:color="auto" w:fill="FFFFFF" w:themeFill="background1"/>
          </w:tcPr>
          <w:p w14:paraId="27309A1E" w14:textId="77777777" w:rsidR="0091003F" w:rsidRPr="0091003F" w:rsidRDefault="0091003F" w:rsidP="0091003F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299C193D" w14:textId="77777777" w:rsidTr="00E55E3B">
        <w:trPr>
          <w:jc w:val="center"/>
        </w:trPr>
        <w:tc>
          <w:tcPr>
            <w:tcW w:w="5812" w:type="dxa"/>
          </w:tcPr>
          <w:p w14:paraId="0DB7C4FC" w14:textId="77777777" w:rsidR="0091003F" w:rsidRPr="0091003F" w:rsidRDefault="0091003F" w:rsidP="0091003F">
            <w:pPr>
              <w:numPr>
                <w:ilvl w:val="0"/>
                <w:numId w:val="5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Committed to working as a team</w:t>
            </w:r>
          </w:p>
        </w:tc>
        <w:tc>
          <w:tcPr>
            <w:tcW w:w="5103" w:type="dxa"/>
            <w:shd w:val="clear" w:color="auto" w:fill="FFFFFF" w:themeFill="background1"/>
          </w:tcPr>
          <w:p w14:paraId="5E0CBC2E" w14:textId="77777777" w:rsidR="0091003F" w:rsidRPr="0091003F" w:rsidRDefault="0091003F" w:rsidP="0091003F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631C0018" w14:textId="77777777" w:rsidTr="00E55E3B">
        <w:trPr>
          <w:jc w:val="center"/>
        </w:trPr>
        <w:tc>
          <w:tcPr>
            <w:tcW w:w="5812" w:type="dxa"/>
          </w:tcPr>
          <w:p w14:paraId="6480FB8B" w14:textId="77777777" w:rsidR="0091003F" w:rsidRPr="0091003F" w:rsidRDefault="0091003F" w:rsidP="0091003F">
            <w:pPr>
              <w:numPr>
                <w:ilvl w:val="0"/>
                <w:numId w:val="5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Positive in approach</w:t>
            </w:r>
          </w:p>
        </w:tc>
        <w:tc>
          <w:tcPr>
            <w:tcW w:w="5103" w:type="dxa"/>
            <w:shd w:val="clear" w:color="auto" w:fill="FFFFFF" w:themeFill="background1"/>
          </w:tcPr>
          <w:p w14:paraId="433F0127" w14:textId="77777777" w:rsidR="0091003F" w:rsidRPr="0091003F" w:rsidRDefault="0091003F" w:rsidP="0091003F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91003F" w:rsidRPr="0091003F" w14:paraId="17C6BE4B" w14:textId="77777777" w:rsidTr="00E55E3B">
        <w:trPr>
          <w:jc w:val="center"/>
        </w:trPr>
        <w:tc>
          <w:tcPr>
            <w:tcW w:w="5812" w:type="dxa"/>
          </w:tcPr>
          <w:p w14:paraId="443C8B22" w14:textId="77777777" w:rsidR="0091003F" w:rsidRPr="0091003F" w:rsidRDefault="0091003F" w:rsidP="0091003F">
            <w:pPr>
              <w:numPr>
                <w:ilvl w:val="0"/>
                <w:numId w:val="5"/>
              </w:numPr>
              <w:spacing w:after="4" w:line="249" w:lineRule="auto"/>
              <w:ind w:left="175" w:right="-808" w:hanging="175"/>
              <w:contextualSpacing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91003F">
              <w:rPr>
                <w:rFonts w:eastAsia="Arial" w:cs="Arial"/>
                <w:color w:val="000000"/>
                <w:sz w:val="24"/>
                <w:szCs w:val="24"/>
              </w:rPr>
              <w:t>Self-reliant</w:t>
            </w:r>
          </w:p>
        </w:tc>
        <w:tc>
          <w:tcPr>
            <w:tcW w:w="5103" w:type="dxa"/>
            <w:shd w:val="clear" w:color="auto" w:fill="FFFFFF" w:themeFill="background1"/>
          </w:tcPr>
          <w:p w14:paraId="61B27F33" w14:textId="77777777" w:rsidR="0091003F" w:rsidRPr="0091003F" w:rsidRDefault="0091003F" w:rsidP="0091003F">
            <w:pPr>
              <w:spacing w:after="4" w:line="249" w:lineRule="auto"/>
              <w:ind w:right="-808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</w:tbl>
    <w:p w14:paraId="03FFC596" w14:textId="77777777" w:rsidR="0091003F" w:rsidRPr="003B66C7" w:rsidRDefault="0091003F" w:rsidP="003B66C7">
      <w:pPr>
        <w:rPr>
          <w:color w:val="1F4E79" w:themeColor="accent5" w:themeShade="80"/>
          <w:sz w:val="16"/>
          <w:szCs w:val="16"/>
        </w:rPr>
      </w:pPr>
    </w:p>
    <w:sectPr w:rsidR="0091003F" w:rsidRPr="003B66C7" w:rsidSect="0091003F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74F0" w14:textId="77777777" w:rsidR="005B09E2" w:rsidRDefault="005B09E2" w:rsidP="00216712">
      <w:pPr>
        <w:spacing w:after="0" w:line="240" w:lineRule="auto"/>
      </w:pPr>
      <w:r>
        <w:separator/>
      </w:r>
    </w:p>
  </w:endnote>
  <w:endnote w:type="continuationSeparator" w:id="0">
    <w:p w14:paraId="1DFB0BC3" w14:textId="77777777" w:rsidR="005B09E2" w:rsidRDefault="005B09E2" w:rsidP="0021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D0FBF" w14:textId="77777777" w:rsidR="005B09E2" w:rsidRDefault="005B09E2" w:rsidP="00216712">
      <w:pPr>
        <w:spacing w:after="0" w:line="240" w:lineRule="auto"/>
      </w:pPr>
      <w:r>
        <w:separator/>
      </w:r>
    </w:p>
  </w:footnote>
  <w:footnote w:type="continuationSeparator" w:id="0">
    <w:p w14:paraId="6F868B6A" w14:textId="77777777" w:rsidR="005B09E2" w:rsidRDefault="005B09E2" w:rsidP="00216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4A8B" w14:textId="0E8E69DB" w:rsidR="00216712" w:rsidRDefault="00216712" w:rsidP="002167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89A6B" w14:textId="1EAF05D2" w:rsidR="0091003F" w:rsidRDefault="0091003F" w:rsidP="0091003F">
    <w:pPr>
      <w:pStyle w:val="Header"/>
      <w:jc w:val="center"/>
    </w:pPr>
    <w:r w:rsidRPr="00216712">
      <w:rPr>
        <w:noProof/>
      </w:rPr>
      <w:drawing>
        <wp:inline distT="0" distB="0" distL="0" distR="0" wp14:anchorId="3B7F1A83" wp14:editId="1628E989">
          <wp:extent cx="1238250" cy="11065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85" cy="114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A92"/>
    <w:multiLevelType w:val="hybridMultilevel"/>
    <w:tmpl w:val="97E4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76E"/>
    <w:multiLevelType w:val="hybridMultilevel"/>
    <w:tmpl w:val="0F8A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58FF"/>
    <w:multiLevelType w:val="hybridMultilevel"/>
    <w:tmpl w:val="924AC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23BD"/>
    <w:multiLevelType w:val="hybridMultilevel"/>
    <w:tmpl w:val="8098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4A21"/>
    <w:multiLevelType w:val="hybridMultilevel"/>
    <w:tmpl w:val="8C48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E0165"/>
    <w:multiLevelType w:val="hybridMultilevel"/>
    <w:tmpl w:val="4C52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48F9"/>
    <w:multiLevelType w:val="hybridMultilevel"/>
    <w:tmpl w:val="538C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tDSxNDYxNjY0sjBX0lEKTi0uzszPAykwrAUAigEBQywAAAA="/>
  </w:docVars>
  <w:rsids>
    <w:rsidRoot w:val="009272C3"/>
    <w:rsid w:val="0015038F"/>
    <w:rsid w:val="001E275F"/>
    <w:rsid w:val="00216712"/>
    <w:rsid w:val="003A6934"/>
    <w:rsid w:val="003B66C7"/>
    <w:rsid w:val="00522E95"/>
    <w:rsid w:val="005B09E2"/>
    <w:rsid w:val="007F4413"/>
    <w:rsid w:val="0091003F"/>
    <w:rsid w:val="009272C3"/>
    <w:rsid w:val="009D0C0C"/>
    <w:rsid w:val="009D2692"/>
    <w:rsid w:val="00B30DA4"/>
    <w:rsid w:val="00B33C69"/>
    <w:rsid w:val="00B9254F"/>
    <w:rsid w:val="00CE3608"/>
    <w:rsid w:val="00DC19B7"/>
    <w:rsid w:val="00E55E3B"/>
    <w:rsid w:val="00EF3237"/>
    <w:rsid w:val="00F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D231"/>
  <w15:chartTrackingRefBased/>
  <w15:docId w15:val="{E0AE0886-9B6E-4162-AF9E-6C69626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12"/>
  </w:style>
  <w:style w:type="paragraph" w:styleId="Footer">
    <w:name w:val="footer"/>
    <w:basedOn w:val="Normal"/>
    <w:link w:val="FooterChar"/>
    <w:uiPriority w:val="99"/>
    <w:unhideWhenUsed/>
    <w:rsid w:val="0021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12"/>
  </w:style>
  <w:style w:type="table" w:styleId="TableGrid">
    <w:name w:val="Table Grid"/>
    <w:basedOn w:val="TableNormal"/>
    <w:uiPriority w:val="39"/>
    <w:rsid w:val="0091003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1003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7196-0010-4723-85FB-7C11001F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Belzer</dc:creator>
  <cp:keywords/>
  <dc:description/>
  <cp:lastModifiedBy>Zoe Sylvester</cp:lastModifiedBy>
  <cp:revision>4</cp:revision>
  <dcterms:created xsi:type="dcterms:W3CDTF">2018-08-07T13:26:00Z</dcterms:created>
  <dcterms:modified xsi:type="dcterms:W3CDTF">2018-08-07T13:27:00Z</dcterms:modified>
</cp:coreProperties>
</file>