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0206"/>
      </w:tblGrid>
      <w:tr w:rsidR="00EC1F9B">
        <w:trPr>
          <w:trHeight w:val="417"/>
        </w:trPr>
        <w:tc>
          <w:tcPr>
            <w:tcW w:w="10206"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rsidR="00EC1F9B" w:rsidRDefault="005E18AA">
            <w:pPr>
              <w:pStyle w:val="Body"/>
              <w:jc w:val="center"/>
            </w:pPr>
            <w:r>
              <w:rPr>
                <w:rFonts w:ascii="Arial"/>
                <w:b/>
                <w:bCs/>
                <w:sz w:val="28"/>
                <w:szCs w:val="28"/>
                <w:lang w:val="en-US"/>
              </w:rPr>
              <w:t>Equal Opportunities for Staff</w:t>
            </w:r>
          </w:p>
        </w:tc>
      </w:tr>
    </w:tbl>
    <w:p w:rsidR="00EC1F9B" w:rsidRDefault="00EC1F9B">
      <w:pPr>
        <w:pStyle w:val="Body"/>
        <w:widowControl w:val="0"/>
        <w:ind w:left="2" w:hanging="2"/>
      </w:pPr>
    </w:p>
    <w:p w:rsidR="00EC1F9B" w:rsidRDefault="00EC1F9B">
      <w:pPr>
        <w:pStyle w:val="Body"/>
        <w:rPr>
          <w:rFonts w:ascii="Calibri" w:eastAsia="Calibri" w:hAnsi="Calibri" w:cs="Calibri"/>
          <w:sz w:val="22"/>
          <w:szCs w:val="22"/>
        </w:rPr>
      </w:pPr>
    </w:p>
    <w:p w:rsidR="00EC1F9B" w:rsidRDefault="005E18AA">
      <w:pPr>
        <w:pStyle w:val="Body"/>
        <w:widowControl w:val="0"/>
        <w:rPr>
          <w:rFonts w:ascii="Calibri" w:eastAsia="Calibri" w:hAnsi="Calibri" w:cs="Calibri"/>
          <w:sz w:val="22"/>
          <w:szCs w:val="22"/>
        </w:rPr>
      </w:pPr>
      <w:r>
        <w:rPr>
          <w:rFonts w:ascii="Calibri" w:eastAsia="Calibri" w:hAnsi="Calibri" w:cs="Calibri"/>
          <w:noProof/>
          <w:sz w:val="22"/>
          <w:szCs w:val="22"/>
        </w:rPr>
        <w:drawing>
          <wp:anchor distT="152400" distB="152400" distL="152400" distR="152400" simplePos="0" relativeHeight="251659264" behindDoc="0" locked="0" layoutInCell="1" allowOverlap="1">
            <wp:simplePos x="0" y="0"/>
            <wp:positionH relativeFrom="page">
              <wp:posOffset>641984</wp:posOffset>
            </wp:positionH>
            <wp:positionV relativeFrom="page">
              <wp:posOffset>129538</wp:posOffset>
            </wp:positionV>
            <wp:extent cx="6475730" cy="1364037"/>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pic:nvPicPr>
                  <pic:blipFill>
                    <a:blip r:embed="rId7">
                      <a:extLst/>
                    </a:blip>
                    <a:stretch>
                      <a:fillRect/>
                    </a:stretch>
                  </pic:blipFill>
                  <pic:spPr>
                    <a:xfrm>
                      <a:off x="0" y="0"/>
                      <a:ext cx="6475730" cy="1364037"/>
                    </a:xfrm>
                    <a:prstGeom prst="rect">
                      <a:avLst/>
                    </a:prstGeom>
                    <a:ln w="12700" cap="flat">
                      <a:noFill/>
                      <a:miter lim="400000"/>
                    </a:ln>
                    <a:effectLst/>
                  </pic:spPr>
                </pic:pic>
              </a:graphicData>
            </a:graphic>
          </wp:anchor>
        </w:drawing>
      </w:r>
    </w:p>
    <w:tbl>
      <w:tblPr>
        <w:tblW w:w="1017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957"/>
        <w:gridCol w:w="2410"/>
        <w:gridCol w:w="2693"/>
        <w:gridCol w:w="3118"/>
      </w:tblGrid>
      <w:tr w:rsidR="00EC1F9B">
        <w:trPr>
          <w:trHeight w:val="466"/>
        </w:trPr>
        <w:tc>
          <w:tcPr>
            <w:tcW w:w="1957"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EC1F9B" w:rsidRDefault="005E18AA">
            <w:pPr>
              <w:pStyle w:val="Body"/>
              <w:jc w:val="center"/>
            </w:pPr>
            <w:r>
              <w:rPr>
                <w:rFonts w:ascii="Arial"/>
                <w:b/>
                <w:bCs/>
                <w:sz w:val="22"/>
                <w:szCs w:val="22"/>
                <w:lang w:val="en-US"/>
              </w:rPr>
              <w:t>Date</w:t>
            </w:r>
          </w:p>
        </w:tc>
        <w:tc>
          <w:tcPr>
            <w:tcW w:w="241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EC1F9B" w:rsidRDefault="005E18AA">
            <w:pPr>
              <w:pStyle w:val="Body"/>
              <w:jc w:val="center"/>
            </w:pPr>
            <w:r>
              <w:rPr>
                <w:rFonts w:ascii="Arial"/>
                <w:b/>
                <w:bCs/>
                <w:sz w:val="22"/>
                <w:szCs w:val="22"/>
                <w:lang w:val="en-US"/>
              </w:rPr>
              <w:t>Review Date</w:t>
            </w:r>
          </w:p>
        </w:tc>
        <w:tc>
          <w:tcPr>
            <w:tcW w:w="2693"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EC1F9B" w:rsidRDefault="005E18AA">
            <w:pPr>
              <w:pStyle w:val="Body"/>
              <w:jc w:val="center"/>
            </w:pPr>
            <w:r>
              <w:rPr>
                <w:rFonts w:ascii="Arial"/>
                <w:b/>
                <w:bCs/>
                <w:sz w:val="22"/>
                <w:szCs w:val="22"/>
                <w:lang w:val="en-US"/>
              </w:rPr>
              <w:t>Headmistress</w:t>
            </w:r>
          </w:p>
        </w:tc>
        <w:tc>
          <w:tcPr>
            <w:tcW w:w="3118"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EC1F9B" w:rsidRDefault="005E18AA">
            <w:pPr>
              <w:pStyle w:val="Body"/>
              <w:jc w:val="center"/>
            </w:pPr>
            <w:r>
              <w:rPr>
                <w:rFonts w:ascii="Arial"/>
                <w:b/>
                <w:bCs/>
                <w:sz w:val="22"/>
                <w:szCs w:val="22"/>
                <w:lang w:val="en-US"/>
              </w:rPr>
              <w:t>Proprietor</w:t>
            </w:r>
          </w:p>
        </w:tc>
      </w:tr>
      <w:tr w:rsidR="00EC1F9B">
        <w:trPr>
          <w:trHeight w:val="466"/>
        </w:trPr>
        <w:tc>
          <w:tcPr>
            <w:tcW w:w="19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F9B" w:rsidRDefault="005E18AA">
            <w:pPr>
              <w:pStyle w:val="Body"/>
              <w:jc w:val="center"/>
            </w:pPr>
            <w:r>
              <w:rPr>
                <w:rFonts w:ascii="Arial"/>
                <w:b/>
                <w:bCs/>
                <w:sz w:val="22"/>
                <w:szCs w:val="22"/>
                <w:lang w:val="en-US"/>
              </w:rPr>
              <w:t>April 2017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F9B" w:rsidRDefault="005E18AA">
            <w:pPr>
              <w:pStyle w:val="Body"/>
              <w:jc w:val="center"/>
            </w:pPr>
            <w:r>
              <w:rPr>
                <w:rFonts w:ascii="Arial"/>
                <w:b/>
                <w:bCs/>
                <w:sz w:val="22"/>
                <w:szCs w:val="22"/>
                <w:lang w:val="en-US"/>
              </w:rPr>
              <w:t>April 2018</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F9B" w:rsidRDefault="005E18AA">
            <w:pPr>
              <w:pStyle w:val="Body"/>
              <w:jc w:val="center"/>
            </w:pPr>
            <w:r>
              <w:rPr>
                <w:rFonts w:ascii="Arial"/>
                <w:b/>
                <w:bCs/>
                <w:sz w:val="22"/>
                <w:szCs w:val="22"/>
                <w:lang w:val="en-US"/>
              </w:rPr>
              <w:t xml:space="preserve">Zoe Sylvester </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F9B" w:rsidRDefault="005E18AA">
            <w:pPr>
              <w:pStyle w:val="Body"/>
              <w:jc w:val="center"/>
            </w:pPr>
            <w:r>
              <w:rPr>
                <w:rFonts w:ascii="Arial"/>
                <w:b/>
                <w:bCs/>
                <w:sz w:val="22"/>
                <w:szCs w:val="22"/>
                <w:lang w:val="en-US"/>
              </w:rPr>
              <w:t xml:space="preserve">Brian </w:t>
            </w:r>
            <w:proofErr w:type="spellStart"/>
            <w:r>
              <w:rPr>
                <w:rFonts w:ascii="Arial"/>
                <w:b/>
                <w:bCs/>
                <w:sz w:val="22"/>
                <w:szCs w:val="22"/>
                <w:lang w:val="en-US"/>
              </w:rPr>
              <w:t>Berkery</w:t>
            </w:r>
            <w:proofErr w:type="spellEnd"/>
          </w:p>
        </w:tc>
      </w:tr>
    </w:tbl>
    <w:p w:rsidR="00EC1F9B" w:rsidRDefault="00EC1F9B">
      <w:pPr>
        <w:pStyle w:val="Body"/>
        <w:widowControl w:val="0"/>
        <w:rPr>
          <w:rFonts w:ascii="Calibri" w:eastAsia="Calibri" w:hAnsi="Calibri" w:cs="Calibri"/>
          <w:sz w:val="22"/>
          <w:szCs w:val="22"/>
        </w:rPr>
      </w:pPr>
    </w:p>
    <w:p w:rsidR="00EC1F9B" w:rsidRDefault="00EC1F9B">
      <w:pPr>
        <w:pStyle w:val="Body"/>
        <w:rPr>
          <w:rFonts w:ascii="Calibri" w:eastAsia="Calibri" w:hAnsi="Calibri" w:cs="Calibri"/>
          <w:sz w:val="22"/>
          <w:szCs w:val="22"/>
        </w:rPr>
      </w:pPr>
    </w:p>
    <w:p w:rsidR="00EC1F9B" w:rsidRDefault="005E18AA">
      <w:pPr>
        <w:pStyle w:val="NormalWeb"/>
        <w:shd w:val="clear" w:color="auto" w:fill="FFFFFF"/>
        <w:spacing w:before="240" w:after="360"/>
        <w:jc w:val="both"/>
        <w:rPr>
          <w:rFonts w:ascii="Arial" w:eastAsia="Arial" w:hAnsi="Arial" w:cs="Arial"/>
          <w:sz w:val="24"/>
          <w:szCs w:val="24"/>
        </w:rPr>
      </w:pPr>
      <w:r>
        <w:rPr>
          <w:rFonts w:ascii="Arial"/>
          <w:sz w:val="24"/>
          <w:szCs w:val="24"/>
        </w:rPr>
        <w:t xml:space="preserve">This Policy forms part of a set of documents and policies that relate to the safeguarding responsibilities of the School with special regard to the EYFS, PSHEE, SEND, </w:t>
      </w:r>
      <w:proofErr w:type="spellStart"/>
      <w:r>
        <w:rPr>
          <w:rFonts w:ascii="Arial"/>
          <w:sz w:val="24"/>
          <w:szCs w:val="24"/>
        </w:rPr>
        <w:t>Behaviour</w:t>
      </w:r>
      <w:proofErr w:type="spellEnd"/>
      <w:r>
        <w:rPr>
          <w:rFonts w:ascii="Arial"/>
          <w:sz w:val="24"/>
          <w:szCs w:val="24"/>
        </w:rPr>
        <w:t>, SMSC and Anti-Bullying Policies.</w:t>
      </w:r>
    </w:p>
    <w:p w:rsidR="00EC1F9B" w:rsidRDefault="005E18AA">
      <w:pPr>
        <w:pStyle w:val="Body"/>
        <w:rPr>
          <w:rFonts w:ascii="Arial" w:eastAsia="Arial" w:hAnsi="Arial" w:cs="Arial"/>
          <w:b/>
          <w:bCs/>
        </w:rPr>
      </w:pPr>
      <w:r>
        <w:rPr>
          <w:rFonts w:ascii="Arial"/>
          <w:b/>
          <w:bCs/>
        </w:rPr>
        <w:t>LEGISLATION</w:t>
      </w:r>
    </w:p>
    <w:p w:rsidR="00EC1F9B" w:rsidRDefault="00EC1F9B">
      <w:pPr>
        <w:pStyle w:val="Body"/>
        <w:rPr>
          <w:rFonts w:ascii="Arial" w:eastAsia="Arial" w:hAnsi="Arial" w:cs="Arial"/>
          <w:b/>
          <w:bCs/>
        </w:rPr>
      </w:pPr>
    </w:p>
    <w:p w:rsidR="00EC1F9B" w:rsidRDefault="005E18AA">
      <w:pPr>
        <w:pStyle w:val="Body"/>
        <w:rPr>
          <w:rFonts w:ascii="Arial" w:eastAsia="Arial" w:hAnsi="Arial" w:cs="Arial"/>
          <w:lang w:val="en-US"/>
        </w:rPr>
      </w:pPr>
      <w:r>
        <w:rPr>
          <w:rFonts w:ascii="Arial"/>
          <w:lang w:val="en-US"/>
        </w:rPr>
        <w:t xml:space="preserve">The Equality policy has been drawn up in accordance with the latest government guidance (The Equality Act 2010 and schools - Departmental advice for school leaders, school staff, governing bodies and local authorities (Department for Education - May 2014)) and ISI regulations (January 2015). </w:t>
      </w:r>
    </w:p>
    <w:p w:rsidR="00EC1F9B" w:rsidRDefault="005E18AA">
      <w:pPr>
        <w:pStyle w:val="Body"/>
        <w:rPr>
          <w:rFonts w:ascii="Arial" w:eastAsia="Arial" w:hAnsi="Arial" w:cs="Arial"/>
          <w:lang w:val="en-US"/>
        </w:rPr>
      </w:pPr>
      <w:r>
        <w:rPr>
          <w:rFonts w:ascii="Arial"/>
          <w:lang w:val="en-US"/>
        </w:rPr>
        <w:t xml:space="preserve">This policy also accords with previous legislation: </w:t>
      </w:r>
    </w:p>
    <w:p w:rsidR="00EC1F9B" w:rsidRDefault="00BF131E">
      <w:pPr>
        <w:pStyle w:val="ListParagraph"/>
        <w:numPr>
          <w:ilvl w:val="0"/>
          <w:numId w:val="3"/>
        </w:numPr>
        <w:tabs>
          <w:tab w:val="num" w:pos="720"/>
        </w:tabs>
        <w:ind w:hanging="360"/>
        <w:rPr>
          <w:rFonts w:ascii="Arial" w:eastAsia="Arial" w:hAnsi="Arial" w:cs="Arial"/>
        </w:rPr>
      </w:pPr>
      <w:r>
        <w:rPr>
          <w:rFonts w:ascii="Arial"/>
        </w:rPr>
        <w:t>R</w:t>
      </w:r>
      <w:r w:rsidR="005E18AA">
        <w:rPr>
          <w:rFonts w:ascii="Arial"/>
        </w:rPr>
        <w:t>ace Relations (Amendment) Act (2000)</w:t>
      </w:r>
    </w:p>
    <w:p w:rsidR="00EC1F9B" w:rsidRDefault="00BF131E">
      <w:pPr>
        <w:pStyle w:val="ListParagraph"/>
        <w:numPr>
          <w:ilvl w:val="0"/>
          <w:numId w:val="4"/>
        </w:numPr>
        <w:tabs>
          <w:tab w:val="num" w:pos="720"/>
        </w:tabs>
        <w:ind w:hanging="360"/>
        <w:rPr>
          <w:rFonts w:ascii="Arial" w:eastAsia="Arial" w:hAnsi="Arial" w:cs="Arial"/>
        </w:rPr>
      </w:pPr>
      <w:r>
        <w:rPr>
          <w:rFonts w:ascii="Arial"/>
        </w:rPr>
        <w:t>D</w:t>
      </w:r>
      <w:r w:rsidR="005E18AA">
        <w:rPr>
          <w:rFonts w:ascii="Arial"/>
        </w:rPr>
        <w:t xml:space="preserve">isability Equality Duty (2005) and Disability Discrimination (Amendment) Act (2002); </w:t>
      </w:r>
    </w:p>
    <w:p w:rsidR="00EC1F9B" w:rsidRDefault="00BF131E">
      <w:pPr>
        <w:pStyle w:val="ListParagraph"/>
        <w:numPr>
          <w:ilvl w:val="0"/>
          <w:numId w:val="5"/>
        </w:numPr>
        <w:tabs>
          <w:tab w:val="num" w:pos="720"/>
        </w:tabs>
        <w:ind w:hanging="360"/>
        <w:rPr>
          <w:rFonts w:ascii="Arial" w:eastAsia="Arial" w:hAnsi="Arial" w:cs="Arial"/>
        </w:rPr>
      </w:pPr>
      <w:r>
        <w:rPr>
          <w:rFonts w:ascii="Arial"/>
        </w:rPr>
        <w:t>E</w:t>
      </w:r>
      <w:r w:rsidR="005E18AA">
        <w:rPr>
          <w:rFonts w:ascii="Arial"/>
        </w:rPr>
        <w:t xml:space="preserve">quality Act (2006) </w:t>
      </w:r>
    </w:p>
    <w:p w:rsidR="00EC1F9B" w:rsidRDefault="00BF131E">
      <w:pPr>
        <w:pStyle w:val="ListParagraph"/>
        <w:numPr>
          <w:ilvl w:val="0"/>
          <w:numId w:val="6"/>
        </w:numPr>
        <w:tabs>
          <w:tab w:val="num" w:pos="720"/>
        </w:tabs>
        <w:ind w:hanging="360"/>
        <w:rPr>
          <w:rFonts w:ascii="Arial" w:eastAsia="Arial" w:hAnsi="Arial" w:cs="Arial"/>
        </w:rPr>
      </w:pPr>
      <w:r>
        <w:rPr>
          <w:rFonts w:ascii="Arial"/>
        </w:rPr>
        <w:t>S</w:t>
      </w:r>
      <w:r w:rsidR="005E18AA">
        <w:rPr>
          <w:rFonts w:ascii="Arial"/>
        </w:rPr>
        <w:t>ex Discrimination Act (1975)</w:t>
      </w:r>
    </w:p>
    <w:p w:rsidR="00EC1F9B" w:rsidRDefault="00BF131E">
      <w:pPr>
        <w:pStyle w:val="ListParagraph"/>
        <w:numPr>
          <w:ilvl w:val="0"/>
          <w:numId w:val="7"/>
        </w:numPr>
        <w:tabs>
          <w:tab w:val="num" w:pos="720"/>
        </w:tabs>
        <w:ind w:hanging="360"/>
        <w:rPr>
          <w:rFonts w:ascii="Arial" w:eastAsia="Arial" w:hAnsi="Arial" w:cs="Arial"/>
        </w:rPr>
      </w:pPr>
      <w:r>
        <w:rPr>
          <w:rFonts w:ascii="Arial"/>
        </w:rPr>
        <w:t>D</w:t>
      </w:r>
      <w:r w:rsidR="005E18AA">
        <w:rPr>
          <w:rFonts w:ascii="Arial"/>
        </w:rPr>
        <w:t>isability Discrimination Act (DDA) (1995)</w:t>
      </w:r>
    </w:p>
    <w:p w:rsidR="00EC1F9B" w:rsidRDefault="005E18AA">
      <w:pPr>
        <w:pStyle w:val="Body"/>
        <w:rPr>
          <w:rFonts w:ascii="Arial" w:eastAsia="Arial" w:hAnsi="Arial" w:cs="Arial"/>
          <w:lang w:val="en-US"/>
        </w:rPr>
      </w:pPr>
      <w:r>
        <w:rPr>
          <w:rFonts w:ascii="Arial"/>
          <w:lang w:val="en-US"/>
        </w:rPr>
        <w:t>This policy also reflects the School</w:t>
      </w:r>
      <w:r>
        <w:rPr>
          <w:rFonts w:hAnsi="Arial"/>
          <w:lang w:val="en-US"/>
        </w:rPr>
        <w:t>’</w:t>
      </w:r>
      <w:r>
        <w:rPr>
          <w:rFonts w:ascii="Arial"/>
          <w:lang w:val="en-US"/>
        </w:rPr>
        <w:t xml:space="preserve">s general and specific duties as detailed in: </w:t>
      </w:r>
    </w:p>
    <w:p w:rsidR="00EC1F9B" w:rsidRDefault="00BF131E">
      <w:pPr>
        <w:pStyle w:val="ListParagraph"/>
        <w:numPr>
          <w:ilvl w:val="0"/>
          <w:numId w:val="10"/>
        </w:numPr>
        <w:tabs>
          <w:tab w:val="num" w:pos="720"/>
        </w:tabs>
        <w:ind w:hanging="360"/>
        <w:rPr>
          <w:rFonts w:ascii="Arial" w:eastAsia="Arial" w:hAnsi="Arial" w:cs="Arial"/>
        </w:rPr>
      </w:pPr>
      <w:r>
        <w:rPr>
          <w:rFonts w:ascii="Arial"/>
        </w:rPr>
        <w:t>R</w:t>
      </w:r>
      <w:r w:rsidR="005E18AA">
        <w:rPr>
          <w:rFonts w:ascii="Arial"/>
        </w:rPr>
        <w:t>ace Relations (Amendment) Act (2000)</w:t>
      </w:r>
    </w:p>
    <w:p w:rsidR="00EC1F9B" w:rsidRDefault="00BF131E">
      <w:pPr>
        <w:pStyle w:val="ListParagraph"/>
        <w:numPr>
          <w:ilvl w:val="0"/>
          <w:numId w:val="11"/>
        </w:numPr>
        <w:tabs>
          <w:tab w:val="num" w:pos="720"/>
        </w:tabs>
        <w:ind w:hanging="360"/>
        <w:rPr>
          <w:rFonts w:ascii="Arial" w:eastAsia="Arial" w:hAnsi="Arial" w:cs="Arial"/>
        </w:rPr>
      </w:pPr>
      <w:r>
        <w:rPr>
          <w:rFonts w:ascii="Arial"/>
        </w:rPr>
        <w:t>C</w:t>
      </w:r>
      <w:r w:rsidR="005E18AA">
        <w:rPr>
          <w:rFonts w:ascii="Arial"/>
        </w:rPr>
        <w:t xml:space="preserve">ode of Practice on the Duty to Promote Race Equality (2001), issued by the Commission for Racial Equality (CRE) </w:t>
      </w:r>
    </w:p>
    <w:p w:rsidR="00EC1F9B" w:rsidRDefault="005E18AA">
      <w:pPr>
        <w:pStyle w:val="ListParagraph"/>
        <w:numPr>
          <w:ilvl w:val="0"/>
          <w:numId w:val="12"/>
        </w:numPr>
        <w:tabs>
          <w:tab w:val="num" w:pos="720"/>
        </w:tabs>
        <w:ind w:hanging="360"/>
        <w:rPr>
          <w:rFonts w:ascii="Arial" w:eastAsia="Arial" w:hAnsi="Arial" w:cs="Arial"/>
        </w:rPr>
      </w:pPr>
      <w:r>
        <w:rPr>
          <w:rFonts w:ascii="Arial"/>
        </w:rPr>
        <w:t xml:space="preserve">preparing a Race Equality Policy for Schools CRE (2002) </w:t>
      </w:r>
    </w:p>
    <w:p w:rsidR="00EC1F9B" w:rsidRDefault="00BF131E">
      <w:pPr>
        <w:pStyle w:val="ListParagraph"/>
        <w:numPr>
          <w:ilvl w:val="0"/>
          <w:numId w:val="13"/>
        </w:numPr>
        <w:tabs>
          <w:tab w:val="num" w:pos="720"/>
        </w:tabs>
        <w:ind w:hanging="360"/>
        <w:rPr>
          <w:rFonts w:ascii="Arial" w:eastAsia="Arial" w:hAnsi="Arial" w:cs="Arial"/>
        </w:rPr>
      </w:pPr>
      <w:r>
        <w:rPr>
          <w:rFonts w:ascii="Arial"/>
        </w:rPr>
        <w:t>UN Convention on the rights of the c</w:t>
      </w:r>
      <w:r w:rsidR="005E18AA">
        <w:rPr>
          <w:rFonts w:ascii="Arial"/>
        </w:rPr>
        <w:t>hild</w:t>
      </w:r>
    </w:p>
    <w:p w:rsidR="00EC1F9B" w:rsidRDefault="00EC1F9B">
      <w:pPr>
        <w:pStyle w:val="Body"/>
        <w:rPr>
          <w:rFonts w:ascii="Arial" w:eastAsia="Arial" w:hAnsi="Arial" w:cs="Arial"/>
          <w:b/>
          <w:bCs/>
        </w:rPr>
      </w:pPr>
    </w:p>
    <w:p w:rsidR="00EC1F9B" w:rsidRDefault="00EC1F9B">
      <w:pPr>
        <w:pStyle w:val="Body"/>
        <w:rPr>
          <w:rFonts w:ascii="Calibri" w:eastAsia="Calibri" w:hAnsi="Calibri" w:cs="Calibri"/>
          <w:sz w:val="22"/>
          <w:szCs w:val="22"/>
        </w:rPr>
      </w:pPr>
    </w:p>
    <w:p w:rsidR="00EC1F9B" w:rsidRDefault="005E18AA">
      <w:pPr>
        <w:pStyle w:val="Body"/>
        <w:rPr>
          <w:rFonts w:ascii="Arial" w:eastAsia="Arial" w:hAnsi="Arial" w:cs="Arial"/>
          <w:b/>
          <w:bCs/>
        </w:rPr>
      </w:pPr>
      <w:r>
        <w:rPr>
          <w:rFonts w:ascii="Arial"/>
          <w:b/>
          <w:bCs/>
        </w:rPr>
        <w:t xml:space="preserve">PHILOSOPHY AND AIMS OF THE POLICY </w:t>
      </w:r>
    </w:p>
    <w:p w:rsidR="00EC1F9B" w:rsidRDefault="00EC1F9B">
      <w:pPr>
        <w:pStyle w:val="Body"/>
        <w:rPr>
          <w:rFonts w:ascii="Arial" w:eastAsia="Arial" w:hAnsi="Arial" w:cs="Arial"/>
          <w:b/>
          <w:bCs/>
        </w:rPr>
      </w:pPr>
    </w:p>
    <w:p w:rsidR="00EC1F9B" w:rsidRDefault="005E18AA">
      <w:pPr>
        <w:pStyle w:val="Body"/>
        <w:rPr>
          <w:rFonts w:ascii="Arial" w:eastAsia="Arial" w:hAnsi="Arial" w:cs="Arial"/>
        </w:rPr>
      </w:pPr>
      <w:r>
        <w:rPr>
          <w:rFonts w:ascii="Arial"/>
          <w:lang w:val="en-US"/>
        </w:rPr>
        <w:t xml:space="preserve">The School believes that no one should be discriminated against on the grounds of their age, being or becoming a transsexual person, being married or in a civil partnership, being pregnant or having a child, disability, race including </w:t>
      </w:r>
      <w:proofErr w:type="spellStart"/>
      <w:r>
        <w:rPr>
          <w:rFonts w:ascii="Arial"/>
          <w:lang w:val="en-US"/>
        </w:rPr>
        <w:t>colour</w:t>
      </w:r>
      <w:proofErr w:type="spellEnd"/>
      <w:r>
        <w:rPr>
          <w:rFonts w:ascii="Arial"/>
          <w:lang w:val="en-US"/>
        </w:rPr>
        <w:t xml:space="preserve">, nationality, ethnic or national origin, religion, belief or lack of religion/belief, sex, or sexual orientation. This is in line with the Equality Act </w:t>
      </w:r>
      <w:r>
        <w:rPr>
          <w:rFonts w:ascii="Arial"/>
          <w:lang w:val="en-US"/>
        </w:rPr>
        <w:lastRenderedPageBreak/>
        <w:t xml:space="preserve">2010 and covers both direct and indirect discrimination and these are called </w:t>
      </w:r>
      <w:r>
        <w:rPr>
          <w:rFonts w:hAnsi="Arial"/>
          <w:lang w:val="en-US"/>
        </w:rPr>
        <w:t>‘</w:t>
      </w:r>
      <w:r>
        <w:rPr>
          <w:rFonts w:ascii="Arial"/>
          <w:lang w:val="en-US"/>
        </w:rPr>
        <w:t>protected characteristics</w:t>
      </w:r>
      <w:r>
        <w:rPr>
          <w:rFonts w:hAnsi="Arial"/>
          <w:lang w:val="en-US"/>
        </w:rPr>
        <w:t>’</w:t>
      </w:r>
      <w:r>
        <w:rPr>
          <w:rFonts w:ascii="Arial"/>
        </w:rPr>
        <w:t xml:space="preserve">. </w:t>
      </w:r>
    </w:p>
    <w:p w:rsidR="00EC1F9B" w:rsidRDefault="00EC1F9B">
      <w:pPr>
        <w:pStyle w:val="Body"/>
        <w:rPr>
          <w:rFonts w:ascii="Arial" w:eastAsia="Arial" w:hAnsi="Arial" w:cs="Arial"/>
        </w:rPr>
      </w:pPr>
    </w:p>
    <w:p w:rsidR="00EC1F9B" w:rsidRDefault="005E18AA">
      <w:pPr>
        <w:pStyle w:val="Body"/>
        <w:rPr>
          <w:rFonts w:ascii="Arial" w:eastAsia="Arial" w:hAnsi="Arial" w:cs="Arial"/>
          <w:lang w:val="en-US"/>
        </w:rPr>
      </w:pPr>
      <w:r>
        <w:rPr>
          <w:rFonts w:ascii="Arial"/>
          <w:lang w:val="en-US"/>
        </w:rPr>
        <w:t xml:space="preserve">The School acknowledges that it is wrong to discriminate against, harass or </w:t>
      </w:r>
      <w:proofErr w:type="spellStart"/>
      <w:r>
        <w:rPr>
          <w:rFonts w:ascii="Arial"/>
          <w:lang w:val="en-US"/>
        </w:rPr>
        <w:t>victimise</w:t>
      </w:r>
      <w:proofErr w:type="spellEnd"/>
      <w:r>
        <w:rPr>
          <w:rFonts w:ascii="Arial"/>
          <w:lang w:val="en-US"/>
        </w:rPr>
        <w:t xml:space="preserve"> any individual in relation to their employment, in how it provides education, benefits and services, rewards and sanctions. The school acknowledges that it is unlawful to discriminate against a member or prospective member of staff on the grounds of protected characteristics: sex, race, disability, religion or belief, sexual orientation, gender reassignment and pregnancy or maternity; this also includes discrimination by association or perception. </w:t>
      </w:r>
    </w:p>
    <w:p w:rsidR="00EC1F9B" w:rsidRDefault="00EC1F9B">
      <w:pPr>
        <w:pStyle w:val="Body"/>
        <w:rPr>
          <w:rFonts w:ascii="Arial" w:eastAsia="Arial" w:hAnsi="Arial" w:cs="Arial"/>
          <w:lang w:val="en-US"/>
        </w:rPr>
      </w:pPr>
    </w:p>
    <w:p w:rsidR="00EC1F9B" w:rsidRDefault="005E18AA">
      <w:pPr>
        <w:pStyle w:val="Body"/>
        <w:rPr>
          <w:rFonts w:ascii="Arial" w:eastAsia="Arial" w:hAnsi="Arial" w:cs="Arial"/>
          <w:lang w:val="en-US"/>
        </w:rPr>
      </w:pPr>
      <w:r>
        <w:rPr>
          <w:rFonts w:ascii="Arial"/>
          <w:lang w:val="en-US"/>
        </w:rPr>
        <w:t xml:space="preserve">Although Public Sector Equality Duty (PSED) is not statutory for independent schools, the School seeks to apply its good practice to: </w:t>
      </w:r>
    </w:p>
    <w:p w:rsidR="00EC1F9B" w:rsidRDefault="005E18AA">
      <w:pPr>
        <w:pStyle w:val="ListParagraph"/>
        <w:numPr>
          <w:ilvl w:val="0"/>
          <w:numId w:val="16"/>
        </w:numPr>
        <w:tabs>
          <w:tab w:val="num" w:pos="720"/>
        </w:tabs>
        <w:ind w:hanging="360"/>
        <w:rPr>
          <w:rFonts w:ascii="Arial" w:eastAsia="Arial" w:hAnsi="Arial" w:cs="Arial"/>
        </w:rPr>
      </w:pPr>
      <w:r>
        <w:rPr>
          <w:rFonts w:ascii="Arial"/>
        </w:rPr>
        <w:t>eliminate discrimination and other conduc</w:t>
      </w:r>
      <w:r w:rsidR="00BF131E">
        <w:rPr>
          <w:rFonts w:ascii="Arial"/>
        </w:rPr>
        <w:t>t that is prohibited</w:t>
      </w:r>
    </w:p>
    <w:p w:rsidR="00EC1F9B" w:rsidRDefault="005E18AA">
      <w:pPr>
        <w:pStyle w:val="ListParagraph"/>
        <w:numPr>
          <w:ilvl w:val="0"/>
          <w:numId w:val="17"/>
        </w:numPr>
        <w:tabs>
          <w:tab w:val="num" w:pos="720"/>
        </w:tabs>
        <w:ind w:hanging="360"/>
        <w:rPr>
          <w:rFonts w:ascii="Arial" w:eastAsia="Arial" w:hAnsi="Arial" w:cs="Arial"/>
        </w:rPr>
      </w:pPr>
      <w:r>
        <w:rPr>
          <w:rFonts w:ascii="Arial"/>
        </w:rPr>
        <w:t>advance equality of opportunity between people who share a protected characteristic and people who do not share it</w:t>
      </w:r>
    </w:p>
    <w:p w:rsidR="00EC1F9B" w:rsidRDefault="005E18AA">
      <w:pPr>
        <w:pStyle w:val="ListParagraph"/>
        <w:numPr>
          <w:ilvl w:val="0"/>
          <w:numId w:val="18"/>
        </w:numPr>
        <w:tabs>
          <w:tab w:val="num" w:pos="720"/>
        </w:tabs>
        <w:ind w:hanging="360"/>
        <w:rPr>
          <w:rFonts w:ascii="Arial" w:eastAsia="Arial" w:hAnsi="Arial" w:cs="Arial"/>
        </w:rPr>
      </w:pPr>
      <w:r>
        <w:rPr>
          <w:rFonts w:ascii="Arial"/>
        </w:rPr>
        <w:t>foster good relations across all characteristics - between people who share a protected characteristic and people who do not share it</w:t>
      </w:r>
    </w:p>
    <w:p w:rsidR="00EC1F9B" w:rsidRDefault="00EC1F9B">
      <w:pPr>
        <w:pStyle w:val="Body"/>
        <w:rPr>
          <w:rFonts w:ascii="Calibri" w:eastAsia="Calibri" w:hAnsi="Calibri" w:cs="Calibri"/>
          <w:b/>
          <w:bCs/>
          <w:sz w:val="22"/>
          <w:szCs w:val="22"/>
        </w:rPr>
      </w:pPr>
    </w:p>
    <w:p w:rsidR="00EC1F9B" w:rsidRDefault="00BF131E">
      <w:pPr>
        <w:pStyle w:val="Body"/>
        <w:rPr>
          <w:rFonts w:ascii="Arial" w:eastAsia="Arial" w:hAnsi="Arial" w:cs="Arial"/>
          <w:lang w:val="en-US"/>
        </w:rPr>
      </w:pPr>
      <w:r>
        <w:rPr>
          <w:rFonts w:ascii="Arial"/>
          <w:lang w:val="en-US"/>
        </w:rPr>
        <w:t>The S</w:t>
      </w:r>
      <w:r w:rsidR="005E18AA">
        <w:rPr>
          <w:rFonts w:ascii="Arial"/>
          <w:lang w:val="en-US"/>
        </w:rPr>
        <w:t>chool gives due regard to these three elements. It is inherent in our aims and objectives that we value the individuality of all members of our community. We are committed to giving all our employees every opportunity to achieve the highest of standards. We do this by taking account of people</w:t>
      </w:r>
      <w:r w:rsidR="005E18AA">
        <w:rPr>
          <w:rFonts w:hAnsi="Arial"/>
          <w:lang w:val="en-US"/>
        </w:rPr>
        <w:t>’</w:t>
      </w:r>
      <w:r w:rsidR="005E18AA">
        <w:rPr>
          <w:rFonts w:ascii="Arial"/>
          <w:lang w:val="en-US"/>
        </w:rPr>
        <w:t xml:space="preserve">s varied experiences and needs. The achievements, attitudes and well-being of all members of our community matter. This policy is intended to help to ensure that this school promotes the individuality of all, irrespective of any protected characteristics. (for further guidance on PSED and due regard see chapter 5 of </w:t>
      </w:r>
      <w:proofErr w:type="spellStart"/>
      <w:r w:rsidR="005E18AA">
        <w:rPr>
          <w:rFonts w:ascii="Arial"/>
          <w:lang w:val="en-US"/>
        </w:rPr>
        <w:t>DfE</w:t>
      </w:r>
      <w:proofErr w:type="spellEnd"/>
      <w:r w:rsidR="005E18AA">
        <w:rPr>
          <w:rFonts w:ascii="Arial"/>
          <w:lang w:val="en-US"/>
        </w:rPr>
        <w:t xml:space="preserve"> Equality 2014). </w:t>
      </w:r>
    </w:p>
    <w:p w:rsidR="00EC1F9B" w:rsidRDefault="00EC1F9B">
      <w:pPr>
        <w:pStyle w:val="Body"/>
        <w:rPr>
          <w:rFonts w:ascii="Arial" w:eastAsia="Arial" w:hAnsi="Arial" w:cs="Arial"/>
          <w:lang w:val="en-US"/>
        </w:rPr>
      </w:pPr>
    </w:p>
    <w:p w:rsidR="00EC1F9B" w:rsidRDefault="005E18AA">
      <w:pPr>
        <w:pStyle w:val="Body"/>
        <w:rPr>
          <w:rFonts w:ascii="Arial" w:eastAsia="Arial" w:hAnsi="Arial" w:cs="Arial"/>
          <w:b/>
          <w:bCs/>
          <w:lang w:val="en-US"/>
        </w:rPr>
      </w:pPr>
      <w:r>
        <w:rPr>
          <w:rFonts w:ascii="Arial"/>
          <w:b/>
          <w:bCs/>
          <w:lang w:val="en-US"/>
        </w:rPr>
        <w:t>We take regard of:</w:t>
      </w:r>
    </w:p>
    <w:p w:rsidR="00EC1F9B" w:rsidRDefault="00EC1F9B">
      <w:pPr>
        <w:pStyle w:val="Body"/>
        <w:rPr>
          <w:rFonts w:ascii="Arial" w:eastAsia="Arial" w:hAnsi="Arial" w:cs="Arial"/>
          <w:lang w:val="en-US"/>
        </w:rPr>
      </w:pPr>
    </w:p>
    <w:p w:rsidR="00EC1F9B" w:rsidRDefault="005E18AA">
      <w:pPr>
        <w:pStyle w:val="ListParagraph"/>
        <w:numPr>
          <w:ilvl w:val="0"/>
          <w:numId w:val="21"/>
        </w:numPr>
        <w:tabs>
          <w:tab w:val="num" w:pos="720"/>
        </w:tabs>
        <w:ind w:hanging="360"/>
        <w:rPr>
          <w:rFonts w:ascii="Arial" w:eastAsia="Arial" w:hAnsi="Arial" w:cs="Arial"/>
        </w:rPr>
      </w:pPr>
      <w:r>
        <w:rPr>
          <w:rFonts w:ascii="Arial"/>
        </w:rPr>
        <w:t xml:space="preserve">direct discrimination: when one person treats another less </w:t>
      </w:r>
      <w:proofErr w:type="spellStart"/>
      <w:r>
        <w:rPr>
          <w:rFonts w:ascii="Arial"/>
        </w:rPr>
        <w:t>favourably</w:t>
      </w:r>
      <w:proofErr w:type="spellEnd"/>
      <w:r>
        <w:rPr>
          <w:rFonts w:ascii="Arial"/>
        </w:rPr>
        <w:t xml:space="preserve">, because of a protected characteristic, than they treat </w:t>
      </w:r>
      <w:r>
        <w:rPr>
          <w:rFonts w:hAnsi="Arial"/>
        </w:rPr>
        <w:t>–</w:t>
      </w:r>
      <w:r>
        <w:rPr>
          <w:rFonts w:hAnsi="Arial"/>
        </w:rPr>
        <w:t xml:space="preserve"> </w:t>
      </w:r>
      <w:r>
        <w:rPr>
          <w:rFonts w:ascii="Arial"/>
        </w:rPr>
        <w:t xml:space="preserve">or would treat </w:t>
      </w:r>
      <w:r>
        <w:rPr>
          <w:rFonts w:hAnsi="Arial"/>
        </w:rPr>
        <w:t>–</w:t>
      </w:r>
      <w:r>
        <w:rPr>
          <w:rFonts w:hAnsi="Arial"/>
        </w:rPr>
        <w:t xml:space="preserve"> </w:t>
      </w:r>
      <w:r>
        <w:rPr>
          <w:rFonts w:ascii="Arial"/>
        </w:rPr>
        <w:t xml:space="preserve">other people. This describes the most clear-cut and obvious examples of discrimination </w:t>
      </w:r>
      <w:r>
        <w:rPr>
          <w:rFonts w:hAnsi="Arial"/>
        </w:rPr>
        <w:t>–</w:t>
      </w:r>
      <w:r>
        <w:rPr>
          <w:rFonts w:hAnsi="Arial"/>
        </w:rPr>
        <w:t xml:space="preserve"> </w:t>
      </w:r>
      <w:r>
        <w:rPr>
          <w:rFonts w:ascii="Arial"/>
        </w:rPr>
        <w:t>for example if a school were to refuse to let a pupil be a prefect because she was religious</w:t>
      </w:r>
    </w:p>
    <w:p w:rsidR="00EC1F9B" w:rsidRDefault="005E18AA">
      <w:pPr>
        <w:pStyle w:val="ListParagraph"/>
        <w:numPr>
          <w:ilvl w:val="0"/>
          <w:numId w:val="22"/>
        </w:numPr>
        <w:tabs>
          <w:tab w:val="num" w:pos="720"/>
        </w:tabs>
        <w:ind w:hanging="360"/>
        <w:rPr>
          <w:rFonts w:ascii="Arial" w:eastAsia="Arial" w:hAnsi="Arial" w:cs="Arial"/>
        </w:rPr>
      </w:pPr>
      <w:r>
        <w:rPr>
          <w:rFonts w:ascii="Arial"/>
        </w:rPr>
        <w:t xml:space="preserve">indirect discrimination: when you apply a provision, criterion or practice in the same way for a group of pupils or employees but which has the effect of putting pupils or employees sharing a protected characteristic at a particular disadvantage, and you cannot justify the practice as being a </w:t>
      </w:r>
      <w:r>
        <w:rPr>
          <w:rFonts w:hAnsi="Arial"/>
        </w:rPr>
        <w:t>‘</w:t>
      </w:r>
      <w:r>
        <w:rPr>
          <w:rFonts w:ascii="Arial"/>
        </w:rPr>
        <w:t>proportionate means</w:t>
      </w:r>
      <w:r w:rsidR="00BD1BA9">
        <w:rPr>
          <w:rFonts w:ascii="Arial"/>
        </w:rPr>
        <w:t xml:space="preserve"> of justifying a legitimate aim</w:t>
      </w:r>
      <w:r>
        <w:rPr>
          <w:rFonts w:ascii="Arial"/>
        </w:rPr>
        <w:t xml:space="preserve">' </w:t>
      </w:r>
    </w:p>
    <w:p w:rsidR="00EC1F9B" w:rsidRDefault="005E18AA">
      <w:pPr>
        <w:pStyle w:val="ListParagraph"/>
        <w:numPr>
          <w:ilvl w:val="0"/>
          <w:numId w:val="23"/>
        </w:numPr>
        <w:tabs>
          <w:tab w:val="num" w:pos="720"/>
        </w:tabs>
        <w:ind w:hanging="360"/>
        <w:rPr>
          <w:rFonts w:ascii="Arial" w:eastAsia="Arial" w:hAnsi="Arial" w:cs="Arial"/>
        </w:rPr>
      </w:pPr>
      <w:r>
        <w:rPr>
          <w:rFonts w:ascii="Arial"/>
        </w:rPr>
        <w:t xml:space="preserve">harassment: an </w:t>
      </w:r>
      <w:r>
        <w:rPr>
          <w:rFonts w:hAnsi="Arial"/>
        </w:rPr>
        <w:t>“</w:t>
      </w:r>
      <w:r>
        <w:rPr>
          <w:rFonts w:ascii="Arial"/>
        </w:rPr>
        <w:t>unwanted conduct, related to a relevant protected characteristic, which has the purpose or effect of violating a person</w:t>
      </w:r>
      <w:r>
        <w:rPr>
          <w:rFonts w:hAnsi="Arial"/>
        </w:rPr>
        <w:t>’</w:t>
      </w:r>
      <w:r>
        <w:rPr>
          <w:rFonts w:ascii="Arial"/>
        </w:rPr>
        <w:t>s dignity or creating an intimidating, hostile, degrading, humiliating or offensive environment for that person</w:t>
      </w:r>
      <w:r>
        <w:rPr>
          <w:rFonts w:hAnsi="Arial"/>
        </w:rPr>
        <w:t>”</w:t>
      </w:r>
      <w:r>
        <w:rPr>
          <w:rFonts w:ascii="Arial"/>
        </w:rPr>
        <w:t xml:space="preserve">. This covers unpleasant and bullying </w:t>
      </w:r>
      <w:proofErr w:type="spellStart"/>
      <w:r>
        <w:rPr>
          <w:rFonts w:ascii="Arial"/>
        </w:rPr>
        <w:t>behaviour</w:t>
      </w:r>
      <w:proofErr w:type="spellEnd"/>
      <w:r>
        <w:rPr>
          <w:rFonts w:ascii="Arial"/>
        </w:rPr>
        <w:t xml:space="preserve">, but potentially extends also to actions that, whether intentionally or unintentionally, cause offence to a person because of a protected characteristic. Thus, if a teacher is belittled and is held up to ridicule in the School because of a disability she has, this could lead to a court case alleging unlawful harassment </w:t>
      </w:r>
    </w:p>
    <w:p w:rsidR="00EC1F9B" w:rsidRPr="00BF131E" w:rsidRDefault="005E18AA">
      <w:pPr>
        <w:pStyle w:val="ListParagraph"/>
        <w:numPr>
          <w:ilvl w:val="0"/>
          <w:numId w:val="24"/>
        </w:numPr>
        <w:tabs>
          <w:tab w:val="num" w:pos="720"/>
        </w:tabs>
        <w:ind w:hanging="360"/>
        <w:rPr>
          <w:rFonts w:ascii="Arial" w:eastAsia="Arial" w:hAnsi="Arial" w:cs="Arial"/>
        </w:rPr>
      </w:pPr>
      <w:proofErr w:type="spellStart"/>
      <w:r>
        <w:rPr>
          <w:rFonts w:ascii="Arial"/>
        </w:rPr>
        <w:t>victimisation</w:t>
      </w:r>
      <w:proofErr w:type="spellEnd"/>
      <w:r>
        <w:rPr>
          <w:rFonts w:ascii="Arial"/>
        </w:rPr>
        <w:t xml:space="preserve">: when a person is treated less </w:t>
      </w:r>
      <w:proofErr w:type="spellStart"/>
      <w:r>
        <w:rPr>
          <w:rFonts w:ascii="Arial"/>
        </w:rPr>
        <w:t>favourably</w:t>
      </w:r>
      <w:proofErr w:type="spellEnd"/>
      <w:r>
        <w:rPr>
          <w:rFonts w:ascii="Arial"/>
        </w:rPr>
        <w:t xml:space="preserve"> than they otherwise would have been because of something they have done (</w:t>
      </w:r>
      <w:r>
        <w:rPr>
          <w:rFonts w:hAnsi="Arial"/>
        </w:rPr>
        <w:t>“</w:t>
      </w:r>
      <w:r>
        <w:rPr>
          <w:rFonts w:ascii="Arial"/>
        </w:rPr>
        <w:t>a protected act</w:t>
      </w:r>
      <w:r>
        <w:rPr>
          <w:rFonts w:hAnsi="Arial"/>
        </w:rPr>
        <w:t>”</w:t>
      </w:r>
      <w:r>
        <w:rPr>
          <w:rFonts w:ascii="Arial"/>
        </w:rPr>
        <w:t xml:space="preserve">) in connection with the Act. As well as it being unlawful to </w:t>
      </w:r>
      <w:proofErr w:type="spellStart"/>
      <w:r>
        <w:rPr>
          <w:rFonts w:ascii="Arial"/>
        </w:rPr>
        <w:t>victimise</w:t>
      </w:r>
      <w:proofErr w:type="spellEnd"/>
      <w:r>
        <w:rPr>
          <w:rFonts w:ascii="Arial"/>
        </w:rPr>
        <w:t xml:space="preserve"> a person who does a protected act, a child must not be </w:t>
      </w:r>
      <w:proofErr w:type="spellStart"/>
      <w:r>
        <w:rPr>
          <w:rFonts w:ascii="Arial"/>
        </w:rPr>
        <w:t>victimised</w:t>
      </w:r>
      <w:proofErr w:type="spellEnd"/>
      <w:r>
        <w:rPr>
          <w:rFonts w:ascii="Arial"/>
        </w:rPr>
        <w:t xml:space="preserve"> because of something done by their parent or a sibling</w:t>
      </w:r>
    </w:p>
    <w:p w:rsidR="00BF131E" w:rsidRPr="00BF131E" w:rsidRDefault="00BF131E" w:rsidP="00BF131E">
      <w:pPr>
        <w:tabs>
          <w:tab w:val="num" w:pos="720"/>
        </w:tabs>
        <w:rPr>
          <w:rFonts w:ascii="Arial" w:eastAsia="Arial" w:hAnsi="Arial" w:cs="Arial"/>
        </w:rPr>
      </w:pPr>
    </w:p>
    <w:p w:rsidR="00EC1F9B" w:rsidRDefault="00EC1F9B">
      <w:pPr>
        <w:pStyle w:val="Body"/>
        <w:rPr>
          <w:rFonts w:ascii="Arial" w:eastAsia="Arial" w:hAnsi="Arial" w:cs="Arial"/>
          <w:lang w:val="en-US"/>
        </w:rPr>
      </w:pPr>
    </w:p>
    <w:p w:rsidR="00EC1F9B" w:rsidRDefault="005E18AA">
      <w:pPr>
        <w:pStyle w:val="Body"/>
        <w:rPr>
          <w:rFonts w:ascii="Arial" w:eastAsia="Arial" w:hAnsi="Arial" w:cs="Arial"/>
          <w:b/>
          <w:bCs/>
          <w:lang w:val="en-US"/>
        </w:rPr>
      </w:pPr>
      <w:r>
        <w:rPr>
          <w:rFonts w:ascii="Arial"/>
          <w:b/>
          <w:bCs/>
          <w:lang w:val="en-US"/>
        </w:rPr>
        <w:lastRenderedPageBreak/>
        <w:t xml:space="preserve">We observe good equalities practice in staff recruitment, retention and development </w:t>
      </w:r>
    </w:p>
    <w:p w:rsidR="00EC1F9B" w:rsidRDefault="00EC1F9B">
      <w:pPr>
        <w:pStyle w:val="Body"/>
        <w:rPr>
          <w:rFonts w:ascii="Arial" w:eastAsia="Arial" w:hAnsi="Arial" w:cs="Arial"/>
          <w:b/>
          <w:bCs/>
          <w:lang w:val="en-US"/>
        </w:rPr>
      </w:pPr>
    </w:p>
    <w:p w:rsidR="00EC1F9B" w:rsidRDefault="005E18AA">
      <w:pPr>
        <w:pStyle w:val="Body"/>
        <w:rPr>
          <w:rFonts w:ascii="Arial" w:eastAsia="Arial" w:hAnsi="Arial" w:cs="Arial"/>
          <w:lang w:val="en-US"/>
        </w:rPr>
      </w:pPr>
      <w:r>
        <w:rPr>
          <w:rFonts w:ascii="Arial"/>
          <w:lang w:val="en-US"/>
        </w:rPr>
        <w:t xml:space="preserve">We ensure that policies and procedures should benefit all employees and potential employees, for example in recruitment and promotion, and in continuing professional development: </w:t>
      </w:r>
    </w:p>
    <w:p w:rsidR="00EC1F9B" w:rsidRDefault="005E18AA">
      <w:pPr>
        <w:pStyle w:val="ListParagraph"/>
        <w:numPr>
          <w:ilvl w:val="0"/>
          <w:numId w:val="27"/>
        </w:numPr>
        <w:tabs>
          <w:tab w:val="num" w:pos="720"/>
        </w:tabs>
        <w:ind w:hanging="360"/>
        <w:rPr>
          <w:rFonts w:ascii="Arial" w:eastAsia="Arial" w:hAnsi="Arial" w:cs="Arial"/>
        </w:rPr>
      </w:pPr>
      <w:r>
        <w:rPr>
          <w:rFonts w:ascii="Arial"/>
        </w:rPr>
        <w:t xml:space="preserve">whether or not they are disabled </w:t>
      </w:r>
    </w:p>
    <w:p w:rsidR="00EC1F9B" w:rsidRDefault="005E18AA">
      <w:pPr>
        <w:pStyle w:val="ListParagraph"/>
        <w:numPr>
          <w:ilvl w:val="0"/>
          <w:numId w:val="28"/>
        </w:numPr>
        <w:tabs>
          <w:tab w:val="num" w:pos="720"/>
        </w:tabs>
        <w:ind w:hanging="360"/>
        <w:rPr>
          <w:rFonts w:ascii="Arial" w:eastAsia="Arial" w:hAnsi="Arial" w:cs="Arial"/>
        </w:rPr>
      </w:pPr>
      <w:r>
        <w:rPr>
          <w:rFonts w:ascii="Arial"/>
        </w:rPr>
        <w:t xml:space="preserve">whatever their ethnicity, culture, religious affiliation, national origin or national status </w:t>
      </w:r>
    </w:p>
    <w:p w:rsidR="00EC1F9B" w:rsidRDefault="005E18AA">
      <w:pPr>
        <w:pStyle w:val="ListParagraph"/>
        <w:numPr>
          <w:ilvl w:val="0"/>
          <w:numId w:val="29"/>
        </w:numPr>
        <w:tabs>
          <w:tab w:val="num" w:pos="720"/>
        </w:tabs>
        <w:ind w:hanging="360"/>
        <w:rPr>
          <w:rFonts w:ascii="Arial" w:eastAsia="Arial" w:hAnsi="Arial" w:cs="Arial"/>
        </w:rPr>
      </w:pPr>
      <w:r>
        <w:rPr>
          <w:rFonts w:ascii="Arial"/>
        </w:rPr>
        <w:t>whatever their gender and sexual identity, and with full respect for legal rights relating to pregnancy and maternity</w:t>
      </w:r>
    </w:p>
    <w:p w:rsidR="00EC1F9B" w:rsidRDefault="00EC1F9B">
      <w:pPr>
        <w:pStyle w:val="Body"/>
        <w:rPr>
          <w:rFonts w:ascii="Arial" w:eastAsia="Arial" w:hAnsi="Arial" w:cs="Arial"/>
          <w:lang w:val="en-US"/>
        </w:rPr>
      </w:pPr>
    </w:p>
    <w:p w:rsidR="00EC1F9B" w:rsidRDefault="00EC1F9B">
      <w:pPr>
        <w:pStyle w:val="Body"/>
        <w:rPr>
          <w:rFonts w:ascii="Arial" w:eastAsia="Arial" w:hAnsi="Arial" w:cs="Arial"/>
          <w:lang w:val="en-US"/>
        </w:rPr>
      </w:pPr>
    </w:p>
    <w:p w:rsidR="00EC1F9B" w:rsidRDefault="005E18AA">
      <w:pPr>
        <w:pStyle w:val="Body"/>
        <w:rPr>
          <w:rFonts w:ascii="Arial" w:eastAsia="Arial" w:hAnsi="Arial" w:cs="Arial"/>
          <w:b/>
          <w:bCs/>
        </w:rPr>
      </w:pPr>
      <w:r>
        <w:rPr>
          <w:rFonts w:ascii="Arial"/>
          <w:b/>
          <w:bCs/>
          <w:lang w:val="en-US"/>
        </w:rPr>
        <w:t xml:space="preserve">Aspects of equal opportunities relating to staff </w:t>
      </w:r>
    </w:p>
    <w:p w:rsidR="00EC1F9B" w:rsidRDefault="00EC1F9B">
      <w:pPr>
        <w:pStyle w:val="Body"/>
        <w:rPr>
          <w:rFonts w:ascii="Arial" w:eastAsia="Arial" w:hAnsi="Arial" w:cs="Arial"/>
        </w:rPr>
      </w:pPr>
    </w:p>
    <w:p w:rsidR="00EC1F9B" w:rsidRDefault="00EC1F9B">
      <w:pPr>
        <w:pStyle w:val="Body"/>
        <w:rPr>
          <w:rFonts w:ascii="Arial" w:eastAsia="Arial" w:hAnsi="Arial" w:cs="Arial"/>
        </w:rPr>
      </w:pPr>
    </w:p>
    <w:p w:rsidR="00EC1F9B" w:rsidRDefault="005E18AA">
      <w:pPr>
        <w:pStyle w:val="ListParagraph"/>
        <w:numPr>
          <w:ilvl w:val="0"/>
          <w:numId w:val="32"/>
        </w:numPr>
        <w:tabs>
          <w:tab w:val="num" w:pos="720"/>
        </w:tabs>
        <w:ind w:hanging="360"/>
        <w:rPr>
          <w:rFonts w:ascii="Arial" w:eastAsia="Arial" w:hAnsi="Arial" w:cs="Arial"/>
        </w:rPr>
      </w:pPr>
      <w:r>
        <w:rPr>
          <w:rFonts w:ascii="Arial"/>
        </w:rPr>
        <w:t>we are committed to the implementation of equal opportunities principles and the monitoring and active promotion of equality in all aspects of staffing and employment</w:t>
      </w:r>
    </w:p>
    <w:p w:rsidR="00EC1F9B" w:rsidRDefault="005E18AA">
      <w:pPr>
        <w:pStyle w:val="ListParagraph"/>
        <w:numPr>
          <w:ilvl w:val="0"/>
          <w:numId w:val="33"/>
        </w:numPr>
        <w:tabs>
          <w:tab w:val="num" w:pos="720"/>
        </w:tabs>
        <w:ind w:hanging="360"/>
        <w:rPr>
          <w:rFonts w:ascii="Arial" w:eastAsia="Arial" w:hAnsi="Arial" w:cs="Arial"/>
        </w:rPr>
      </w:pPr>
      <w:r>
        <w:rPr>
          <w:rFonts w:ascii="Arial"/>
        </w:rPr>
        <w:t>all staff appointments and promotions are made on the basis of merit and ability and in compliance with the law, in line with our Safer Recruitment Policy</w:t>
      </w:r>
    </w:p>
    <w:p w:rsidR="00EC1F9B" w:rsidRDefault="005E18AA">
      <w:pPr>
        <w:pStyle w:val="ListParagraph"/>
        <w:numPr>
          <w:ilvl w:val="0"/>
          <w:numId w:val="34"/>
        </w:numPr>
        <w:tabs>
          <w:tab w:val="num" w:pos="720"/>
        </w:tabs>
        <w:ind w:hanging="360"/>
        <w:rPr>
          <w:rFonts w:ascii="Arial" w:eastAsia="Arial" w:hAnsi="Arial" w:cs="Arial"/>
        </w:rPr>
      </w:pPr>
      <w:r>
        <w:rPr>
          <w:rFonts w:ascii="Arial"/>
        </w:rPr>
        <w:t>we are also concerned to ensure wherever pos</w:t>
      </w:r>
      <w:r w:rsidR="00BF131E">
        <w:rPr>
          <w:rFonts w:ascii="Arial"/>
        </w:rPr>
        <w:t>sible that the staffing of the S</w:t>
      </w:r>
      <w:r>
        <w:rPr>
          <w:rFonts w:ascii="Arial"/>
        </w:rPr>
        <w:t>chool reflects the diversity of our community</w:t>
      </w:r>
    </w:p>
    <w:p w:rsidR="00EC1F9B" w:rsidRDefault="005E18AA">
      <w:pPr>
        <w:pStyle w:val="ListParagraph"/>
        <w:numPr>
          <w:ilvl w:val="0"/>
          <w:numId w:val="35"/>
        </w:numPr>
        <w:tabs>
          <w:tab w:val="num" w:pos="720"/>
        </w:tabs>
        <w:ind w:hanging="360"/>
        <w:rPr>
          <w:rFonts w:ascii="Arial" w:eastAsia="Arial" w:hAnsi="Arial" w:cs="Arial"/>
        </w:rPr>
      </w:pPr>
      <w:r>
        <w:rPr>
          <w:rFonts w:ascii="Arial"/>
        </w:rPr>
        <w:t>as an employer, we strive to ensure that we eliminate discrimination and harassment in our employment practice and actively promote equality across all groups within our workforce by</w:t>
      </w:r>
      <w:r>
        <w:rPr>
          <w:rFonts w:ascii="Calibri" w:eastAsia="Calibri" w:hAnsi="Calibri" w:cs="Calibri"/>
        </w:rPr>
        <w:t xml:space="preserve"> </w:t>
      </w:r>
      <w:r w:rsidR="00BF131E">
        <w:rPr>
          <w:rFonts w:ascii="Arial"/>
        </w:rPr>
        <w:t>ensuring</w:t>
      </w:r>
      <w:bookmarkStart w:id="0" w:name="_GoBack"/>
      <w:bookmarkEnd w:id="0"/>
      <w:r>
        <w:rPr>
          <w:rFonts w:ascii="Arial"/>
        </w:rPr>
        <w:t xml:space="preserve"> that all appointments procedures are in accordance with the Equality Policy, so that no- one is discriminated against</w:t>
      </w:r>
    </w:p>
    <w:p w:rsidR="00EC1F9B" w:rsidRDefault="005E18AA">
      <w:pPr>
        <w:pStyle w:val="ListParagraph"/>
        <w:numPr>
          <w:ilvl w:val="0"/>
          <w:numId w:val="36"/>
        </w:numPr>
        <w:tabs>
          <w:tab w:val="num" w:pos="720"/>
        </w:tabs>
        <w:ind w:hanging="360"/>
        <w:rPr>
          <w:rFonts w:ascii="Arial" w:eastAsia="Arial" w:hAnsi="Arial" w:cs="Arial"/>
        </w:rPr>
      </w:pPr>
      <w:r>
        <w:rPr>
          <w:rFonts w:ascii="Arial"/>
        </w:rPr>
        <w:t xml:space="preserve">we respect the religious beliefs and practice of all staff, pupils and parents, and comply with reasonable requests relating to religious observance and practice </w:t>
      </w:r>
    </w:p>
    <w:p w:rsidR="00EC1F9B" w:rsidRDefault="005E18AA">
      <w:pPr>
        <w:pStyle w:val="ListParagraph"/>
        <w:numPr>
          <w:ilvl w:val="0"/>
          <w:numId w:val="37"/>
        </w:numPr>
        <w:tabs>
          <w:tab w:val="num" w:pos="720"/>
        </w:tabs>
        <w:ind w:hanging="360"/>
        <w:rPr>
          <w:rFonts w:ascii="Arial" w:eastAsia="Arial" w:hAnsi="Arial" w:cs="Arial"/>
        </w:rPr>
      </w:pPr>
      <w:r>
        <w:rPr>
          <w:rFonts w:ascii="Arial"/>
        </w:rPr>
        <w:t>we ensure that all staff, including support and administrative staff, receive appropriate training and opportunities for professional development, both as individuals and as groups or teams</w:t>
      </w:r>
    </w:p>
    <w:p w:rsidR="00EC1F9B" w:rsidRDefault="005E18AA">
      <w:pPr>
        <w:pStyle w:val="ListParagraph"/>
        <w:numPr>
          <w:ilvl w:val="0"/>
          <w:numId w:val="38"/>
        </w:numPr>
        <w:tabs>
          <w:tab w:val="num" w:pos="720"/>
        </w:tabs>
        <w:ind w:hanging="360"/>
        <w:rPr>
          <w:rFonts w:ascii="Arial" w:eastAsia="Arial" w:hAnsi="Arial" w:cs="Arial"/>
        </w:rPr>
      </w:pPr>
      <w:r>
        <w:rPr>
          <w:rFonts w:ascii="Arial"/>
        </w:rPr>
        <w:t>should a member of staff become disabled, the School will make reasonable adjustments to that person</w:t>
      </w:r>
      <w:r>
        <w:rPr>
          <w:rFonts w:hAnsi="Arial"/>
        </w:rPr>
        <w:t>’</w:t>
      </w:r>
      <w:r>
        <w:rPr>
          <w:rFonts w:ascii="Arial"/>
        </w:rPr>
        <w:t>s employment arrangements, or to the premises, to enable them to continue in post</w:t>
      </w:r>
    </w:p>
    <w:p w:rsidR="00EC1F9B" w:rsidRDefault="00EC1F9B">
      <w:pPr>
        <w:pStyle w:val="ListParagraph"/>
        <w:rPr>
          <w:rFonts w:ascii="Arial" w:eastAsia="Arial" w:hAnsi="Arial" w:cs="Arial"/>
        </w:rPr>
      </w:pPr>
    </w:p>
    <w:p w:rsidR="00EC1F9B" w:rsidRDefault="00EC1F9B">
      <w:pPr>
        <w:pStyle w:val="Body"/>
        <w:rPr>
          <w:rFonts w:ascii="Arial" w:eastAsia="Arial" w:hAnsi="Arial" w:cs="Arial"/>
        </w:rPr>
      </w:pPr>
    </w:p>
    <w:p w:rsidR="00EC1F9B" w:rsidRDefault="00EC1F9B">
      <w:pPr>
        <w:pStyle w:val="Body"/>
        <w:widowControl w:val="0"/>
        <w:rPr>
          <w:rFonts w:ascii="Arial" w:eastAsia="Arial" w:hAnsi="Arial" w:cs="Arial"/>
        </w:rPr>
      </w:pPr>
    </w:p>
    <w:tbl>
      <w:tblPr>
        <w:tblW w:w="1019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60"/>
        <w:gridCol w:w="3824"/>
        <w:gridCol w:w="990"/>
        <w:gridCol w:w="2123"/>
      </w:tblGrid>
      <w:tr w:rsidR="00EC1F9B">
        <w:trPr>
          <w:trHeight w:val="572"/>
        </w:trPr>
        <w:tc>
          <w:tcPr>
            <w:tcW w:w="325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EC1F9B" w:rsidRDefault="005E18AA">
            <w:pPr>
              <w:pStyle w:val="Body"/>
            </w:pPr>
            <w:r>
              <w:rPr>
                <w:rFonts w:ascii="Arial"/>
                <w:b/>
                <w:bCs/>
                <w:lang w:val="en-US"/>
              </w:rPr>
              <w:t>Headmistress:</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EC1F9B" w:rsidRDefault="00EC1F9B"/>
        </w:tc>
        <w:tc>
          <w:tcPr>
            <w:tcW w:w="99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EC1F9B" w:rsidRDefault="005E18AA">
            <w:pPr>
              <w:pStyle w:val="Body"/>
            </w:pPr>
            <w:r>
              <w:rPr>
                <w:rFonts w:ascii="Arial"/>
                <w:b/>
                <w:bCs/>
                <w:lang w:val="en-US"/>
              </w:rPr>
              <w:t>Date: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F9B" w:rsidRDefault="00EC1F9B"/>
        </w:tc>
      </w:tr>
      <w:tr w:rsidR="00EC1F9B">
        <w:trPr>
          <w:trHeight w:val="572"/>
        </w:trPr>
        <w:tc>
          <w:tcPr>
            <w:tcW w:w="3259"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EC1F9B" w:rsidRDefault="005E18AA">
            <w:pPr>
              <w:pStyle w:val="Body"/>
            </w:pPr>
            <w:r>
              <w:rPr>
                <w:rFonts w:ascii="Arial"/>
                <w:b/>
                <w:bCs/>
                <w:lang w:val="en-US"/>
              </w:rPr>
              <w:t>Proprietor:</w:t>
            </w:r>
          </w:p>
        </w:tc>
        <w:tc>
          <w:tcPr>
            <w:tcW w:w="3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F9B" w:rsidRDefault="00EC1F9B"/>
        </w:tc>
        <w:tc>
          <w:tcPr>
            <w:tcW w:w="99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tcPr>
          <w:p w:rsidR="00EC1F9B" w:rsidRDefault="005E18AA">
            <w:pPr>
              <w:pStyle w:val="Body"/>
            </w:pPr>
            <w:r>
              <w:rPr>
                <w:rFonts w:ascii="Arial"/>
                <w:b/>
                <w:bCs/>
                <w:lang w:val="en-US"/>
              </w:rPr>
              <w:t>Date:</w:t>
            </w:r>
          </w:p>
        </w:tc>
        <w:tc>
          <w:tcPr>
            <w:tcW w:w="21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C1F9B" w:rsidRDefault="00EC1F9B"/>
        </w:tc>
      </w:tr>
    </w:tbl>
    <w:p w:rsidR="00EC1F9B" w:rsidRDefault="00EC1F9B">
      <w:pPr>
        <w:pStyle w:val="Body"/>
        <w:widowControl w:val="0"/>
        <w:rPr>
          <w:rFonts w:ascii="Arial" w:eastAsia="Arial" w:hAnsi="Arial" w:cs="Arial"/>
        </w:rPr>
      </w:pPr>
    </w:p>
    <w:p w:rsidR="00EC1F9B" w:rsidRDefault="00EC1F9B">
      <w:pPr>
        <w:pStyle w:val="Body"/>
        <w:rPr>
          <w:rFonts w:ascii="Arial" w:eastAsia="Arial" w:hAnsi="Arial" w:cs="Arial"/>
        </w:rPr>
      </w:pPr>
    </w:p>
    <w:p w:rsidR="00EC1F9B" w:rsidRDefault="00EC1F9B">
      <w:pPr>
        <w:pStyle w:val="Body"/>
        <w:rPr>
          <w:rFonts w:ascii="Arial" w:eastAsia="Arial" w:hAnsi="Arial" w:cs="Arial"/>
        </w:rPr>
      </w:pPr>
    </w:p>
    <w:p w:rsidR="00EC1F9B" w:rsidRDefault="00EC1F9B">
      <w:pPr>
        <w:pStyle w:val="Body"/>
      </w:pPr>
    </w:p>
    <w:sectPr w:rsidR="00EC1F9B">
      <w:headerReference w:type="default" r:id="rId8"/>
      <w:footerReference w:type="default" r:id="rId9"/>
      <w:pgSz w:w="12240" w:h="15840"/>
      <w:pgMar w:top="1021" w:right="1021" w:bottom="1021" w:left="102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91F" w:rsidRDefault="0053191F">
      <w:r>
        <w:separator/>
      </w:r>
    </w:p>
  </w:endnote>
  <w:endnote w:type="continuationSeparator" w:id="0">
    <w:p w:rsidR="0053191F" w:rsidRDefault="00531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9B" w:rsidRDefault="00EC1F9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91F" w:rsidRDefault="0053191F">
      <w:r>
        <w:separator/>
      </w:r>
    </w:p>
  </w:footnote>
  <w:footnote w:type="continuationSeparator" w:id="0">
    <w:p w:rsidR="0053191F" w:rsidRDefault="00531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9B" w:rsidRDefault="00EC1F9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7419"/>
    <w:multiLevelType w:val="multilevel"/>
    <w:tmpl w:val="7CBE1B14"/>
    <w:lvl w:ilvl="0">
      <w:start w:val="1"/>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 w15:restartNumberingAfterBreak="0">
    <w:nsid w:val="03B97AE5"/>
    <w:multiLevelType w:val="multilevel"/>
    <w:tmpl w:val="0E98501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86402BE"/>
    <w:multiLevelType w:val="multilevel"/>
    <w:tmpl w:val="E4BCAB3A"/>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 w15:restartNumberingAfterBreak="0">
    <w:nsid w:val="0FBA0A15"/>
    <w:multiLevelType w:val="multilevel"/>
    <w:tmpl w:val="E4E498C8"/>
    <w:styleLink w:val="List51"/>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4" w15:restartNumberingAfterBreak="0">
    <w:nsid w:val="14B349B5"/>
    <w:multiLevelType w:val="multilevel"/>
    <w:tmpl w:val="AF086584"/>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5" w15:restartNumberingAfterBreak="0">
    <w:nsid w:val="15DE15DF"/>
    <w:multiLevelType w:val="multilevel"/>
    <w:tmpl w:val="91EEF2A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16241633"/>
    <w:multiLevelType w:val="multilevel"/>
    <w:tmpl w:val="AEA6A26C"/>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7" w15:restartNumberingAfterBreak="0">
    <w:nsid w:val="19AD3CA9"/>
    <w:multiLevelType w:val="multilevel"/>
    <w:tmpl w:val="E3F0F498"/>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8" w15:restartNumberingAfterBreak="0">
    <w:nsid w:val="1A671D06"/>
    <w:multiLevelType w:val="multilevel"/>
    <w:tmpl w:val="42A8A08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9" w15:restartNumberingAfterBreak="0">
    <w:nsid w:val="1B7A5BF5"/>
    <w:multiLevelType w:val="multilevel"/>
    <w:tmpl w:val="44EC928E"/>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0" w15:restartNumberingAfterBreak="0">
    <w:nsid w:val="1F175A2D"/>
    <w:multiLevelType w:val="multilevel"/>
    <w:tmpl w:val="6DBAE3D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20B7380B"/>
    <w:multiLevelType w:val="multilevel"/>
    <w:tmpl w:val="8C74BB0A"/>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2" w15:restartNumberingAfterBreak="0">
    <w:nsid w:val="22C16C4B"/>
    <w:multiLevelType w:val="multilevel"/>
    <w:tmpl w:val="924037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3" w15:restartNumberingAfterBreak="0">
    <w:nsid w:val="2A5719A6"/>
    <w:multiLevelType w:val="multilevel"/>
    <w:tmpl w:val="77BE2498"/>
    <w:lvl w:ilvl="0">
      <w:start w:val="1"/>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4" w15:restartNumberingAfterBreak="0">
    <w:nsid w:val="2D490FAF"/>
    <w:multiLevelType w:val="multilevel"/>
    <w:tmpl w:val="D61A6636"/>
    <w:styleLink w:val="List21"/>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5" w15:restartNumberingAfterBreak="0">
    <w:nsid w:val="2FC12BDD"/>
    <w:multiLevelType w:val="multilevel"/>
    <w:tmpl w:val="E480BBF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3D175A3E"/>
    <w:multiLevelType w:val="multilevel"/>
    <w:tmpl w:val="B142B616"/>
    <w:styleLink w:val="List41"/>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7" w15:restartNumberingAfterBreak="0">
    <w:nsid w:val="42991C99"/>
    <w:multiLevelType w:val="multilevel"/>
    <w:tmpl w:val="8DEAADF2"/>
    <w:styleLink w:val="List31"/>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8" w15:restartNumberingAfterBreak="0">
    <w:nsid w:val="524453AF"/>
    <w:multiLevelType w:val="multilevel"/>
    <w:tmpl w:val="2A6003DE"/>
    <w:lvl w:ilvl="0">
      <w:start w:val="1"/>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19" w15:restartNumberingAfterBreak="0">
    <w:nsid w:val="526F3A86"/>
    <w:multiLevelType w:val="multilevel"/>
    <w:tmpl w:val="A6DCDC9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5865549F"/>
    <w:multiLevelType w:val="multilevel"/>
    <w:tmpl w:val="432693B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1" w15:restartNumberingAfterBreak="0">
    <w:nsid w:val="59A25204"/>
    <w:multiLevelType w:val="multilevel"/>
    <w:tmpl w:val="583C7C9C"/>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2" w15:restartNumberingAfterBreak="0">
    <w:nsid w:val="59BE0471"/>
    <w:multiLevelType w:val="multilevel"/>
    <w:tmpl w:val="37C4D928"/>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3" w15:restartNumberingAfterBreak="0">
    <w:nsid w:val="59DA535B"/>
    <w:multiLevelType w:val="multilevel"/>
    <w:tmpl w:val="37DA2EC0"/>
    <w:lvl w:ilvl="0">
      <w:start w:val="1"/>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4" w15:restartNumberingAfterBreak="0">
    <w:nsid w:val="59E26C45"/>
    <w:multiLevelType w:val="multilevel"/>
    <w:tmpl w:val="C5AE5284"/>
    <w:styleLink w:val="List0"/>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5" w15:restartNumberingAfterBreak="0">
    <w:nsid w:val="60486845"/>
    <w:multiLevelType w:val="multilevel"/>
    <w:tmpl w:val="E0BC2CE2"/>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6" w15:restartNumberingAfterBreak="0">
    <w:nsid w:val="61455227"/>
    <w:multiLevelType w:val="multilevel"/>
    <w:tmpl w:val="AFE6BA1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66896A7B"/>
    <w:multiLevelType w:val="multilevel"/>
    <w:tmpl w:val="9F36685A"/>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28" w15:restartNumberingAfterBreak="0">
    <w:nsid w:val="66D37665"/>
    <w:multiLevelType w:val="multilevel"/>
    <w:tmpl w:val="C86EA9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9" w15:restartNumberingAfterBreak="0">
    <w:nsid w:val="678226D2"/>
    <w:multiLevelType w:val="multilevel"/>
    <w:tmpl w:val="14B4AB3C"/>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0" w15:restartNumberingAfterBreak="0">
    <w:nsid w:val="6E120942"/>
    <w:multiLevelType w:val="multilevel"/>
    <w:tmpl w:val="C108CF4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1" w15:restartNumberingAfterBreak="0">
    <w:nsid w:val="71035537"/>
    <w:multiLevelType w:val="multilevel"/>
    <w:tmpl w:val="B36481A6"/>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2" w15:restartNumberingAfterBreak="0">
    <w:nsid w:val="780B16AF"/>
    <w:multiLevelType w:val="multilevel"/>
    <w:tmpl w:val="F3407E16"/>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3" w15:restartNumberingAfterBreak="0">
    <w:nsid w:val="782A2650"/>
    <w:multiLevelType w:val="multilevel"/>
    <w:tmpl w:val="ED600DFC"/>
    <w:lvl w:ilvl="0">
      <w:start w:val="1"/>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4" w15:restartNumberingAfterBreak="0">
    <w:nsid w:val="7B92715F"/>
    <w:multiLevelType w:val="multilevel"/>
    <w:tmpl w:val="104485D8"/>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5" w15:restartNumberingAfterBreak="0">
    <w:nsid w:val="7BA65FED"/>
    <w:multiLevelType w:val="multilevel"/>
    <w:tmpl w:val="AE4C209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7BE13CB0"/>
    <w:multiLevelType w:val="multilevel"/>
    <w:tmpl w:val="E266E844"/>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abstractNum w:abstractNumId="37" w15:restartNumberingAfterBreak="0">
    <w:nsid w:val="7C2621C2"/>
    <w:multiLevelType w:val="multilevel"/>
    <w:tmpl w:val="A7B2EDEC"/>
    <w:styleLink w:val="List1"/>
    <w:lvl w:ilvl="0">
      <w:numFmt w:val="bullet"/>
      <w:lvlText w:val="•"/>
      <w:lvlJc w:val="left"/>
      <w:rPr>
        <w:rFonts w:ascii="Arial" w:eastAsia="Arial" w:hAnsi="Arial" w:cs="Arial"/>
        <w:position w:val="0"/>
        <w:lang w:val="en-US"/>
      </w:rPr>
    </w:lvl>
    <w:lvl w:ilvl="1">
      <w:start w:val="1"/>
      <w:numFmt w:val="bullet"/>
      <w:lvlText w:val="o"/>
      <w:lvlJc w:val="left"/>
      <w:rPr>
        <w:rFonts w:ascii="Arial" w:eastAsia="Arial" w:hAnsi="Arial" w:cs="Arial"/>
        <w:position w:val="0"/>
        <w:lang w:val="en-US"/>
      </w:rPr>
    </w:lvl>
    <w:lvl w:ilvl="2">
      <w:start w:val="1"/>
      <w:numFmt w:val="bullet"/>
      <w:lvlText w:val="▪"/>
      <w:lvlJc w:val="left"/>
      <w:rPr>
        <w:rFonts w:ascii="Arial" w:eastAsia="Arial" w:hAnsi="Arial" w:cs="Arial"/>
        <w:position w:val="0"/>
        <w:lang w:val="en-US"/>
      </w:rPr>
    </w:lvl>
    <w:lvl w:ilvl="3">
      <w:start w:val="1"/>
      <w:numFmt w:val="bullet"/>
      <w:lvlText w:val="•"/>
      <w:lvlJc w:val="left"/>
      <w:rPr>
        <w:rFonts w:ascii="Arial" w:eastAsia="Arial" w:hAnsi="Arial" w:cs="Arial"/>
        <w:position w:val="0"/>
        <w:lang w:val="en-US"/>
      </w:rPr>
    </w:lvl>
    <w:lvl w:ilvl="4">
      <w:start w:val="1"/>
      <w:numFmt w:val="bullet"/>
      <w:lvlText w:val="o"/>
      <w:lvlJc w:val="left"/>
      <w:rPr>
        <w:rFonts w:ascii="Arial" w:eastAsia="Arial" w:hAnsi="Arial" w:cs="Arial"/>
        <w:position w:val="0"/>
        <w:lang w:val="en-US"/>
      </w:rPr>
    </w:lvl>
    <w:lvl w:ilvl="5">
      <w:start w:val="1"/>
      <w:numFmt w:val="bullet"/>
      <w:lvlText w:val="▪"/>
      <w:lvlJc w:val="left"/>
      <w:rPr>
        <w:rFonts w:ascii="Arial" w:eastAsia="Arial" w:hAnsi="Arial" w:cs="Arial"/>
        <w:position w:val="0"/>
        <w:lang w:val="en-US"/>
      </w:rPr>
    </w:lvl>
    <w:lvl w:ilvl="6">
      <w:start w:val="1"/>
      <w:numFmt w:val="bullet"/>
      <w:lvlText w:val="•"/>
      <w:lvlJc w:val="left"/>
      <w:rPr>
        <w:rFonts w:ascii="Arial" w:eastAsia="Arial" w:hAnsi="Arial" w:cs="Arial"/>
        <w:position w:val="0"/>
        <w:lang w:val="en-US"/>
      </w:rPr>
    </w:lvl>
    <w:lvl w:ilvl="7">
      <w:start w:val="1"/>
      <w:numFmt w:val="bullet"/>
      <w:lvlText w:val="o"/>
      <w:lvlJc w:val="left"/>
      <w:rPr>
        <w:rFonts w:ascii="Arial" w:eastAsia="Arial" w:hAnsi="Arial" w:cs="Arial"/>
        <w:position w:val="0"/>
        <w:lang w:val="en-US"/>
      </w:rPr>
    </w:lvl>
    <w:lvl w:ilvl="8">
      <w:start w:val="1"/>
      <w:numFmt w:val="bullet"/>
      <w:lvlText w:val="▪"/>
      <w:lvlJc w:val="left"/>
      <w:rPr>
        <w:rFonts w:ascii="Arial" w:eastAsia="Arial" w:hAnsi="Arial" w:cs="Arial"/>
        <w:position w:val="0"/>
        <w:lang w:val="en-US"/>
      </w:rPr>
    </w:lvl>
  </w:abstractNum>
  <w:num w:numId="1">
    <w:abstractNumId w:val="13"/>
  </w:num>
  <w:num w:numId="2">
    <w:abstractNumId w:val="10"/>
  </w:num>
  <w:num w:numId="3">
    <w:abstractNumId w:val="32"/>
  </w:num>
  <w:num w:numId="4">
    <w:abstractNumId w:val="21"/>
  </w:num>
  <w:num w:numId="5">
    <w:abstractNumId w:val="34"/>
  </w:num>
  <w:num w:numId="6">
    <w:abstractNumId w:val="6"/>
  </w:num>
  <w:num w:numId="7">
    <w:abstractNumId w:val="24"/>
  </w:num>
  <w:num w:numId="8">
    <w:abstractNumId w:val="33"/>
  </w:num>
  <w:num w:numId="9">
    <w:abstractNumId w:val="35"/>
  </w:num>
  <w:num w:numId="10">
    <w:abstractNumId w:val="4"/>
  </w:num>
  <w:num w:numId="11">
    <w:abstractNumId w:val="36"/>
  </w:num>
  <w:num w:numId="12">
    <w:abstractNumId w:val="7"/>
  </w:num>
  <w:num w:numId="13">
    <w:abstractNumId w:val="37"/>
  </w:num>
  <w:num w:numId="14">
    <w:abstractNumId w:val="0"/>
  </w:num>
  <w:num w:numId="15">
    <w:abstractNumId w:val="8"/>
  </w:num>
  <w:num w:numId="16">
    <w:abstractNumId w:val="9"/>
  </w:num>
  <w:num w:numId="17">
    <w:abstractNumId w:val="25"/>
  </w:num>
  <w:num w:numId="18">
    <w:abstractNumId w:val="14"/>
  </w:num>
  <w:num w:numId="19">
    <w:abstractNumId w:val="23"/>
  </w:num>
  <w:num w:numId="20">
    <w:abstractNumId w:val="1"/>
  </w:num>
  <w:num w:numId="21">
    <w:abstractNumId w:val="27"/>
  </w:num>
  <w:num w:numId="22">
    <w:abstractNumId w:val="29"/>
  </w:num>
  <w:num w:numId="23">
    <w:abstractNumId w:val="22"/>
  </w:num>
  <w:num w:numId="24">
    <w:abstractNumId w:val="17"/>
  </w:num>
  <w:num w:numId="25">
    <w:abstractNumId w:val="18"/>
  </w:num>
  <w:num w:numId="26">
    <w:abstractNumId w:val="20"/>
  </w:num>
  <w:num w:numId="27">
    <w:abstractNumId w:val="11"/>
  </w:num>
  <w:num w:numId="28">
    <w:abstractNumId w:val="2"/>
  </w:num>
  <w:num w:numId="29">
    <w:abstractNumId w:val="16"/>
  </w:num>
  <w:num w:numId="30">
    <w:abstractNumId w:val="31"/>
  </w:num>
  <w:num w:numId="31">
    <w:abstractNumId w:val="12"/>
  </w:num>
  <w:num w:numId="32">
    <w:abstractNumId w:val="30"/>
  </w:num>
  <w:num w:numId="33">
    <w:abstractNumId w:val="26"/>
  </w:num>
  <w:num w:numId="34">
    <w:abstractNumId w:val="5"/>
  </w:num>
  <w:num w:numId="35">
    <w:abstractNumId w:val="28"/>
  </w:num>
  <w:num w:numId="36">
    <w:abstractNumId w:val="15"/>
  </w:num>
  <w:num w:numId="37">
    <w:abstractNumId w:val="19"/>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F9B"/>
    <w:rsid w:val="001F0119"/>
    <w:rsid w:val="0053191F"/>
    <w:rsid w:val="005D5590"/>
    <w:rsid w:val="005E18AA"/>
    <w:rsid w:val="00BD1BA9"/>
    <w:rsid w:val="00BF131E"/>
    <w:rsid w:val="00D5738C"/>
    <w:rsid w:val="00EC1F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E9534"/>
  <w15:docId w15:val="{FB422A7E-81F9-45A0-876F-86DD9DA6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rPr>
  </w:style>
  <w:style w:type="paragraph" w:styleId="NormalWeb">
    <w:name w:val="Normal (Web)"/>
    <w:pPr>
      <w:spacing w:before="100" w:after="100"/>
    </w:pPr>
    <w:rPr>
      <w:rFonts w:ascii="Times" w:hAnsi="Arial Unicode MS" w:cs="Arial Unicode MS"/>
      <w:color w:val="000000"/>
      <w:u w:color="000000"/>
      <w:lang w:val="en-US"/>
    </w:rPr>
  </w:style>
  <w:style w:type="paragraph" w:styleId="ListParagraph">
    <w:name w:val="List Paragraph"/>
    <w:pPr>
      <w:ind w:left="720"/>
    </w:pPr>
    <w:rPr>
      <w:rFonts w:hAnsi="Arial Unicode MS" w:cs="Arial Unicode MS"/>
      <w:color w:val="000000"/>
      <w:sz w:val="24"/>
      <w:szCs w:val="24"/>
      <w:u w:color="000000"/>
      <w:lang w:val="en-US"/>
    </w:rPr>
  </w:style>
  <w:style w:type="numbering" w:customStyle="1" w:styleId="List0">
    <w:name w:val="List 0"/>
    <w:basedOn w:val="ImportedStyle1"/>
    <w:pPr>
      <w:numPr>
        <w:numId w:val="7"/>
      </w:numPr>
    </w:pPr>
  </w:style>
  <w:style w:type="numbering" w:customStyle="1" w:styleId="ImportedStyle1">
    <w:name w:val="Imported Style 1"/>
  </w:style>
  <w:style w:type="numbering" w:customStyle="1" w:styleId="List1">
    <w:name w:val="List 1"/>
    <w:basedOn w:val="ImportedStyle2"/>
    <w:pPr>
      <w:numPr>
        <w:numId w:val="13"/>
      </w:numPr>
    </w:pPr>
  </w:style>
  <w:style w:type="numbering" w:customStyle="1" w:styleId="ImportedStyle2">
    <w:name w:val="Imported Style 2"/>
  </w:style>
  <w:style w:type="numbering" w:customStyle="1" w:styleId="List21">
    <w:name w:val="List 21"/>
    <w:basedOn w:val="ImportedStyle3"/>
    <w:pPr>
      <w:numPr>
        <w:numId w:val="18"/>
      </w:numPr>
    </w:pPr>
  </w:style>
  <w:style w:type="numbering" w:customStyle="1" w:styleId="ImportedStyle3">
    <w:name w:val="Imported Style 3"/>
  </w:style>
  <w:style w:type="numbering" w:customStyle="1" w:styleId="List31">
    <w:name w:val="List 31"/>
    <w:basedOn w:val="ImportedStyle4"/>
    <w:pPr>
      <w:numPr>
        <w:numId w:val="24"/>
      </w:numPr>
    </w:pPr>
  </w:style>
  <w:style w:type="numbering" w:customStyle="1" w:styleId="ImportedStyle4">
    <w:name w:val="Imported Style 4"/>
  </w:style>
  <w:style w:type="numbering" w:customStyle="1" w:styleId="List41">
    <w:name w:val="List 41"/>
    <w:basedOn w:val="ImportedStyle5"/>
    <w:pPr>
      <w:numPr>
        <w:numId w:val="29"/>
      </w:numPr>
    </w:pPr>
  </w:style>
  <w:style w:type="numbering" w:customStyle="1" w:styleId="ImportedStyle5">
    <w:name w:val="Imported Style 5"/>
  </w:style>
  <w:style w:type="numbering" w:customStyle="1" w:styleId="List51">
    <w:name w:val="List 51"/>
    <w:basedOn w:val="ImportedStyle6"/>
    <w:pPr>
      <w:numPr>
        <w:numId w:val="38"/>
      </w:numPr>
    </w:pPr>
  </w:style>
  <w:style w:type="numbering" w:customStyle="1" w:styleId="ImportedStyle6">
    <w:name w:val="Imported Style 6"/>
  </w:style>
  <w:style w:type="paragraph" w:styleId="BalloonText">
    <w:name w:val="Balloon Text"/>
    <w:basedOn w:val="Normal"/>
    <w:link w:val="BalloonTextChar"/>
    <w:uiPriority w:val="99"/>
    <w:semiHidden/>
    <w:unhideWhenUsed/>
    <w:rsid w:val="00BF13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31E"/>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1042</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 Cribbon</dc:creator>
  <cp:lastModifiedBy>Cara Cribbon</cp:lastModifiedBy>
  <cp:revision>5</cp:revision>
  <cp:lastPrinted>2017-06-12T11:05:00Z</cp:lastPrinted>
  <dcterms:created xsi:type="dcterms:W3CDTF">2017-05-08T08:03:00Z</dcterms:created>
  <dcterms:modified xsi:type="dcterms:W3CDTF">2017-06-12T11:09:00Z</dcterms:modified>
</cp:coreProperties>
</file>